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D8" w:rsidRDefault="00972094" w:rsidP="00EE3716">
      <w:pPr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noProof/>
          <w:lang w:val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10696575"/>
            <wp:effectExtent l="0" t="0" r="635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 TERRITORIALES FOESS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CC1049" w:rsidRPr="00CC1049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5" o:spid="_x0000_s1026" type="#_x0000_t202" style="position:absolute;margin-left:0;margin-top:54pt;width:405pt;height:36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" fillcolor="black [3213]" stroked="f">
            <v:textbox>
              <w:txbxContent>
                <w:p w:rsidR="00805296" w:rsidRPr="00E75B7F" w:rsidRDefault="00643DA4" w:rsidP="0094208A">
                  <w:pPr>
                    <w:ind w:left="142"/>
                    <w:rPr>
                      <w:rFonts w:ascii="Arial" w:hAnsi="Arial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lang w:val="es-ES"/>
                    </w:rPr>
                    <w:t>ISLAS BALEARES</w:t>
                  </w:r>
                </w:p>
              </w:txbxContent>
            </v:textbox>
            <w10:wrap type="square"/>
          </v:shape>
        </w:pict>
      </w:r>
      <w:r w:rsidR="00CC1049" w:rsidRPr="00CC1049">
        <w:rPr>
          <w:noProof/>
          <w:lang w:val="es-ES"/>
        </w:rPr>
        <w:pict>
          <v:shape id="Cuadro de texto 16" o:spid="_x0000_s1027" type="#_x0000_t202" style="position:absolute;margin-left:0;margin-top:477pt;width:423pt;height:9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" filled="f" stroked="f">
            <v:textbox>
              <w:txbxContent>
                <w:p w:rsidR="00805296" w:rsidRDefault="00805296" w:rsidP="0094208A">
                  <w:pPr>
                    <w:spacing w:line="276" w:lineRule="auto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</w:rPr>
                    <w:t>Fundación FOESSA</w:t>
                  </w:r>
                </w:p>
                <w:p w:rsidR="00805296" w:rsidRPr="00832A7B" w:rsidRDefault="00805296" w:rsidP="0094208A">
                  <w:pPr>
                    <w:spacing w:line="276" w:lineRule="auto"/>
                    <w:jc w:val="right"/>
                    <w:rPr>
                      <w:rFonts w:ascii="Arial" w:hAnsi="Arial"/>
                      <w:i/>
                    </w:rPr>
                  </w:pPr>
                  <w:r w:rsidRPr="00E75B7F">
                    <w:rPr>
                      <w:rFonts w:ascii="Arial" w:hAnsi="Arial"/>
                      <w:i/>
                    </w:rPr>
                    <w:t>Octubre 2014</w:t>
                  </w:r>
                </w:p>
              </w:txbxContent>
            </v:textbox>
            <w10:wrap type="square"/>
          </v:shape>
        </w:pict>
      </w:r>
      <w:r w:rsidR="00CC1049" w:rsidRPr="00CC1049">
        <w:rPr>
          <w:noProof/>
          <w:lang w:val="es-ES"/>
        </w:rPr>
        <w:pict>
          <v:shape id="Cuadro de texto 17" o:spid="_x0000_s1028" type="#_x0000_t202" style="position:absolute;margin-left:0;margin-top:297pt;width:423pt;height:117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" filled="f" stroked="f">
            <v:textbox>
              <w:txbxContent>
                <w:p w:rsidR="00733AD2" w:rsidRDefault="00733AD2" w:rsidP="00733AD2">
                  <w:pPr>
                    <w:rPr>
                      <w:rFonts w:ascii="Arial" w:hAnsi="Arial"/>
                      <w:b/>
                      <w:sz w:val="48"/>
                      <w:szCs w:val="48"/>
                      <w:lang w:val="es-ES"/>
                    </w:rPr>
                  </w:pPr>
                </w:p>
                <w:p w:rsidR="00733AD2" w:rsidRPr="00EE3716" w:rsidRDefault="00733AD2" w:rsidP="00733AD2">
                  <w:pPr>
                    <w:rPr>
                      <w:sz w:val="44"/>
                      <w:szCs w:val="44"/>
                      <w:lang w:val="es-ES"/>
                    </w:rPr>
                  </w:pPr>
                  <w:r>
                    <w:rPr>
                      <w:rFonts w:ascii="Arial" w:hAnsi="Arial"/>
                      <w:b/>
                      <w:sz w:val="48"/>
                      <w:szCs w:val="48"/>
                      <w:lang w:val="es-ES"/>
                    </w:rPr>
                    <w:t xml:space="preserve">IDEAS FUERZA </w:t>
                  </w:r>
                </w:p>
                <w:p w:rsidR="00805296" w:rsidRDefault="00805296" w:rsidP="0094208A">
                  <w:pPr>
                    <w:rPr>
                      <w:sz w:val="44"/>
                      <w:szCs w:val="44"/>
                      <w:lang w:val="es-ES"/>
                    </w:rPr>
                  </w:pPr>
                </w:p>
                <w:p w:rsidR="00733AD2" w:rsidRPr="00733AD2" w:rsidRDefault="00733AD2" w:rsidP="0094208A">
                  <w:pPr>
                    <w:rPr>
                      <w:rFonts w:ascii="Arial" w:hAnsi="Arial"/>
                      <w:b/>
                      <w:color w:val="7F7F7F" w:themeColor="text1" w:themeTint="80"/>
                      <w:sz w:val="48"/>
                      <w:szCs w:val="48"/>
                      <w:lang w:val="es-ES"/>
                    </w:rPr>
                  </w:pPr>
                  <w:r w:rsidRPr="00733AD2">
                    <w:rPr>
                      <w:rFonts w:ascii="Arial" w:hAnsi="Arial"/>
                      <w:b/>
                      <w:color w:val="7F7F7F" w:themeColor="text1" w:themeTint="80"/>
                      <w:sz w:val="48"/>
                      <w:szCs w:val="48"/>
                      <w:lang w:val="es-ES"/>
                    </w:rPr>
                    <w:t>DOCUMENTO DE USO INTERNO</w:t>
                  </w:r>
                </w:p>
              </w:txbxContent>
            </v:textbox>
            <w10:wrap type="square"/>
          </v:shape>
        </w:pict>
      </w:r>
      <w:r w:rsidR="00CC1049" w:rsidRPr="00CC1049">
        <w:rPr>
          <w:noProof/>
          <w:lang w:val="es-ES"/>
        </w:rPr>
        <w:pict>
          <v:shape id="Cuadro de texto 18" o:spid="_x0000_s1029" type="#_x0000_t202" style="position:absolute;margin-left:0;margin-top:108pt;width:423pt;height:180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" filled="f" stroked="f">
            <v:textbox>
              <w:txbxContent>
                <w:p w:rsidR="00805296" w:rsidRPr="00832A7B" w:rsidRDefault="00805296" w:rsidP="0094208A">
                  <w:pPr>
                    <w:rPr>
                      <w:sz w:val="72"/>
                      <w:szCs w:val="72"/>
                    </w:rPr>
                  </w:pPr>
                  <w:r w:rsidRPr="00E75B7F">
                    <w:rPr>
                      <w:rFonts w:ascii="Arial" w:hAnsi="Arial"/>
                      <w:b/>
                      <w:sz w:val="72"/>
                      <w:szCs w:val="72"/>
                    </w:rPr>
                    <w:t xml:space="preserve">Informe sobre </w:t>
                  </w:r>
                  <w:r w:rsidR="00643DA4">
                    <w:rPr>
                      <w:rFonts w:ascii="Arial" w:hAnsi="Arial"/>
                      <w:b/>
                      <w:sz w:val="72"/>
                      <w:szCs w:val="72"/>
                    </w:rPr>
                    <w:t>exclusión y desarrollo social en Islas Baleares</w:t>
                  </w:r>
                </w:p>
              </w:txbxContent>
            </v:textbox>
            <w10:wrap type="square"/>
          </v:shape>
        </w:pict>
      </w:r>
    </w:p>
    <w:p w:rsidR="00EE3716" w:rsidRPr="007045D4" w:rsidRDefault="00EE3716" w:rsidP="00EE3716">
      <w:pPr>
        <w:pStyle w:val="Ttol1"/>
        <w:spacing w:before="0"/>
        <w:rPr>
          <w:sz w:val="28"/>
        </w:rPr>
      </w:pPr>
      <w:r w:rsidRPr="007045D4">
        <w:rPr>
          <w:sz w:val="28"/>
        </w:rPr>
        <w:lastRenderedPageBreak/>
        <w:t>IDEA 1</w:t>
      </w:r>
    </w:p>
    <w:p w:rsidR="00EE3716" w:rsidRPr="007045D4" w:rsidRDefault="007045D4" w:rsidP="00EE3716">
      <w:pPr>
        <w:pStyle w:val="Pargrafdellista"/>
        <w:rPr>
          <w:rFonts w:cs="Arial"/>
          <w:b/>
        </w:rPr>
      </w:pPr>
      <w:r w:rsidRPr="007045D4">
        <w:rPr>
          <w:b/>
        </w:rPr>
        <w:t xml:space="preserve">Las </w:t>
      </w:r>
      <w:r w:rsidR="00CA7FE4" w:rsidRPr="007045D4">
        <w:rPr>
          <w:b/>
        </w:rPr>
        <w:t xml:space="preserve">Islas Baleares </w:t>
      </w:r>
      <w:r w:rsidRPr="007045D4">
        <w:rPr>
          <w:b/>
        </w:rPr>
        <w:t xml:space="preserve">registran un </w:t>
      </w:r>
      <w:r w:rsidR="001C56F4" w:rsidRPr="007045D4">
        <w:rPr>
          <w:b/>
        </w:rPr>
        <w:t>riesgo de pobre</w:t>
      </w:r>
      <w:r w:rsidR="00CA7FE4" w:rsidRPr="007045D4">
        <w:rPr>
          <w:b/>
        </w:rPr>
        <w:t xml:space="preserve">za y exclusión social </w:t>
      </w:r>
      <w:r w:rsidRPr="007045D4">
        <w:rPr>
          <w:b/>
        </w:rPr>
        <w:t xml:space="preserve">superior al de la media de </w:t>
      </w:r>
      <w:r w:rsidR="00CA7FE4" w:rsidRPr="007045D4">
        <w:rPr>
          <w:b/>
        </w:rPr>
        <w:t>España</w:t>
      </w:r>
    </w:p>
    <w:p w:rsidR="001C56F4" w:rsidRPr="007045D4" w:rsidRDefault="00CA7FE4" w:rsidP="001C56F4">
      <w:pPr>
        <w:pStyle w:val="Pargrafdellista"/>
      </w:pPr>
      <w:r w:rsidRPr="007045D4">
        <w:t xml:space="preserve">Las Islas Baleares </w:t>
      </w:r>
      <w:r w:rsidR="007045D4" w:rsidRPr="007045D4">
        <w:t>tienen</w:t>
      </w:r>
      <w:r w:rsidR="001C56F4" w:rsidRPr="007045D4">
        <w:t xml:space="preserve"> una de las rentas</w:t>
      </w:r>
      <w:r w:rsidRPr="007045D4">
        <w:t xml:space="preserve"> situadas en el tramo medio-alto</w:t>
      </w:r>
      <w:r w:rsidR="001C56F4" w:rsidRPr="007045D4">
        <w:t xml:space="preserve">, ocupando el </w:t>
      </w:r>
      <w:r w:rsidRPr="007045D4">
        <w:t>séptimo</w:t>
      </w:r>
      <w:r w:rsidR="001C56F4" w:rsidRPr="007045D4">
        <w:t xml:space="preserve"> lugar de rentas más </w:t>
      </w:r>
      <w:r w:rsidRPr="007045D4">
        <w:t>altas</w:t>
      </w:r>
      <w:r w:rsidR="001C56F4" w:rsidRPr="007045D4">
        <w:t xml:space="preserve"> y registrando una tasa de pobreza y exclusión, del </w:t>
      </w:r>
      <w:r w:rsidRPr="007045D4">
        <w:t>27,8</w:t>
      </w:r>
      <w:r w:rsidR="001C56F4" w:rsidRPr="007045D4">
        <w:t>%.</w:t>
      </w:r>
    </w:p>
    <w:p w:rsidR="007045D4" w:rsidRDefault="007045D4" w:rsidP="007045D4">
      <w:pPr>
        <w:pStyle w:val="Pargrafdellista"/>
      </w:pPr>
      <w:r w:rsidRPr="005C4D1E">
        <w:t>Otros rasgos de vulnerabilidad de la sociedad balear: el fuerte aumento de la desigualdad y de la carencia material severa, concretamente el no tener la capacidad para afrontar gastos imprevistos, el haber tenido retrasos en el pago de los gastos relacionados con la vivienda y no poder permitirse mantener la vivienda con una temperatura adecuada. Además, se ha producido un incremento muy importante de los hogares que manifiestan tener dificultad para llegar a fin de mes, especialmente los que indican tener mucha dificultad.</w:t>
      </w:r>
    </w:p>
    <w:p w:rsidR="00EE3716" w:rsidRPr="001C56F4" w:rsidRDefault="00EE3716" w:rsidP="00EE3716">
      <w:pPr>
        <w:pStyle w:val="Pargrafdellista"/>
        <w:spacing w:after="120" w:line="240" w:lineRule="auto"/>
        <w:rPr>
          <w:rFonts w:cs="Arial"/>
          <w:b/>
        </w:rPr>
      </w:pPr>
      <w:r w:rsidRPr="001C56F4">
        <w:rPr>
          <w:rFonts w:cs="Arial"/>
          <w:b/>
        </w:rPr>
        <w:t>Relación entre la Tasa de Riesgo de Pobreza y Exclusión Social y el PIB per cápita, por comunidades autónomas. Año 2013</w:t>
      </w:r>
    </w:p>
    <w:p w:rsidR="00EE3716" w:rsidRPr="001C56F4" w:rsidRDefault="00643DA4" w:rsidP="00EE3716">
      <w:pPr>
        <w:pStyle w:val="Pargrafdellista"/>
        <w:spacing w:after="0" w:line="240" w:lineRule="auto"/>
        <w:rPr>
          <w:rFonts w:cs="Arial"/>
        </w:rPr>
      </w:pPr>
      <w:r w:rsidRPr="002E5E70">
        <w:rPr>
          <w:noProof/>
          <w:lang w:val="es-ES"/>
        </w:rPr>
        <w:drawing>
          <wp:inline distT="0" distB="0" distL="0" distR="0">
            <wp:extent cx="5396230" cy="3057525"/>
            <wp:effectExtent l="0" t="0" r="1397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3716" w:rsidRPr="001C56F4" w:rsidRDefault="00EE3716" w:rsidP="00EE3716">
      <w:pPr>
        <w:pStyle w:val="Pargrafdellista"/>
        <w:spacing w:before="60" w:line="240" w:lineRule="auto"/>
        <w:rPr>
          <w:rFonts w:cs="Arial"/>
          <w:sz w:val="18"/>
        </w:rPr>
      </w:pPr>
      <w:r w:rsidRPr="001C56F4">
        <w:rPr>
          <w:rFonts w:cs="Arial"/>
          <w:i/>
          <w:sz w:val="18"/>
        </w:rPr>
        <w:t>Fuente</w:t>
      </w:r>
      <w:r w:rsidRPr="001C56F4">
        <w:rPr>
          <w:rFonts w:cs="Arial"/>
          <w:sz w:val="18"/>
        </w:rPr>
        <w:t>: Elaboración propia a partir de Encuesta de Condiciones de Vida y Contabilidad Regional de España (INE)</w:t>
      </w:r>
    </w:p>
    <w:p w:rsidR="00EE3716" w:rsidRPr="00C13B31" w:rsidRDefault="00EE3716" w:rsidP="00EE3716">
      <w:pPr>
        <w:rPr>
          <w:rFonts w:ascii="Arial" w:hAnsi="Arial" w:cs="Arial"/>
          <w:sz w:val="20"/>
          <w:szCs w:val="20"/>
          <w:highlight w:val="yellow"/>
        </w:rPr>
      </w:pPr>
      <w:r w:rsidRPr="00C13B31">
        <w:rPr>
          <w:rFonts w:ascii="Arial" w:hAnsi="Arial" w:cs="Arial"/>
          <w:highlight w:val="yellow"/>
        </w:rPr>
        <w:br w:type="page"/>
      </w:r>
    </w:p>
    <w:p w:rsidR="00EE3716" w:rsidRPr="001C56F4" w:rsidRDefault="00EE3716" w:rsidP="00EE3716">
      <w:pPr>
        <w:pStyle w:val="Ttol1"/>
        <w:spacing w:before="0"/>
        <w:rPr>
          <w:sz w:val="28"/>
        </w:rPr>
      </w:pPr>
      <w:r w:rsidRPr="001C56F4">
        <w:rPr>
          <w:sz w:val="28"/>
        </w:rPr>
        <w:lastRenderedPageBreak/>
        <w:t>IDEA 2</w:t>
      </w:r>
    </w:p>
    <w:p w:rsidR="00EE3716" w:rsidRPr="007045D4" w:rsidRDefault="00192D3F" w:rsidP="00EE3716">
      <w:pPr>
        <w:pStyle w:val="Pargrafdellista"/>
        <w:rPr>
          <w:rFonts w:cs="Arial"/>
          <w:b/>
        </w:rPr>
      </w:pPr>
      <w:r w:rsidRPr="007045D4">
        <w:rPr>
          <w:rFonts w:cs="Arial"/>
          <w:b/>
        </w:rPr>
        <w:t xml:space="preserve">Se ha producido </w:t>
      </w:r>
      <w:r w:rsidR="00EE3716" w:rsidRPr="007045D4">
        <w:rPr>
          <w:rFonts w:cs="Arial"/>
          <w:b/>
        </w:rPr>
        <w:t xml:space="preserve">un incremento </w:t>
      </w:r>
      <w:r w:rsidR="007045D4" w:rsidRPr="007045D4">
        <w:rPr>
          <w:rFonts w:cs="Arial"/>
          <w:b/>
        </w:rPr>
        <w:t xml:space="preserve">notable </w:t>
      </w:r>
      <w:r w:rsidR="00EE3716" w:rsidRPr="007045D4">
        <w:rPr>
          <w:rFonts w:cs="Arial"/>
          <w:b/>
        </w:rPr>
        <w:t xml:space="preserve">de la desigualdad en </w:t>
      </w:r>
      <w:r w:rsidR="001C56F4" w:rsidRPr="007045D4">
        <w:rPr>
          <w:rFonts w:cs="Arial"/>
          <w:b/>
        </w:rPr>
        <w:t>la</w:t>
      </w:r>
      <w:r w:rsidR="007045D4" w:rsidRPr="007045D4">
        <w:rPr>
          <w:rFonts w:cs="Arial"/>
          <w:b/>
        </w:rPr>
        <w:t>s Islas Baleares</w:t>
      </w:r>
      <w:r w:rsidR="00EE3716" w:rsidRPr="007045D4">
        <w:rPr>
          <w:rFonts w:cs="Arial"/>
          <w:b/>
        </w:rPr>
        <w:t>, una</w:t>
      </w:r>
      <w:r w:rsidRPr="007045D4">
        <w:rPr>
          <w:rFonts w:cs="Arial"/>
          <w:b/>
        </w:rPr>
        <w:t xml:space="preserve"> evolución </w:t>
      </w:r>
      <w:r w:rsidR="007045D4" w:rsidRPr="007045D4">
        <w:rPr>
          <w:rFonts w:cs="Arial"/>
          <w:b/>
        </w:rPr>
        <w:t xml:space="preserve">muy </w:t>
      </w:r>
      <w:r w:rsidRPr="007045D4">
        <w:rPr>
          <w:rFonts w:cs="Arial"/>
          <w:b/>
        </w:rPr>
        <w:t xml:space="preserve">superior a </w:t>
      </w:r>
      <w:r w:rsidR="00EE3716" w:rsidRPr="007045D4">
        <w:rPr>
          <w:rFonts w:cs="Arial"/>
          <w:b/>
        </w:rPr>
        <w:t xml:space="preserve">la de España. </w:t>
      </w:r>
    </w:p>
    <w:p w:rsidR="00EE3716" w:rsidRPr="00D060C4" w:rsidRDefault="00EE3716" w:rsidP="00EE3716">
      <w:pPr>
        <w:pStyle w:val="Pargrafdellista"/>
        <w:rPr>
          <w:rFonts w:cs="Arial"/>
        </w:rPr>
      </w:pPr>
      <w:r w:rsidRPr="00D060C4">
        <w:rPr>
          <w:rFonts w:cs="Arial"/>
        </w:rPr>
        <w:t xml:space="preserve">La progresiva reducción del PIB per cápita de </w:t>
      </w:r>
      <w:r w:rsidR="00D060C4" w:rsidRPr="00D060C4">
        <w:rPr>
          <w:rFonts w:cs="Arial"/>
        </w:rPr>
        <w:t>las Islas Baleares</w:t>
      </w:r>
      <w:r w:rsidRPr="00D060C4">
        <w:rPr>
          <w:rFonts w:cs="Arial"/>
        </w:rPr>
        <w:t xml:space="preserve"> desde el año 2008, ha venido acompañada de un incremento de la desigualdad. Una desigualdad que ha crecido un </w:t>
      </w:r>
      <w:r w:rsidR="00D060C4" w:rsidRPr="00D060C4">
        <w:rPr>
          <w:rFonts w:cs="Arial"/>
        </w:rPr>
        <w:t>22</w:t>
      </w:r>
      <w:r w:rsidR="00B35CF8">
        <w:rPr>
          <w:rFonts w:cs="Arial"/>
        </w:rPr>
        <w:t>% entre 2008 y 2012, frente al 8,6% de España.</w:t>
      </w:r>
    </w:p>
    <w:p w:rsidR="00EE3716" w:rsidRPr="001C56F4" w:rsidRDefault="00EE3716" w:rsidP="00EE3716">
      <w:pPr>
        <w:pStyle w:val="Pargrafdellista"/>
        <w:rPr>
          <w:rFonts w:cs="Arial"/>
        </w:rPr>
      </w:pPr>
      <w:r w:rsidRPr="00D060C4">
        <w:rPr>
          <w:rFonts w:cs="Arial"/>
        </w:rPr>
        <w:t xml:space="preserve">Para poder entender la variación en este coeficiente, es preciso señalar que para los países desarrollados los valores de Gini más frecuentes oscilan entre 0,25 y 0,35. España y </w:t>
      </w:r>
      <w:r w:rsidR="00D060C4" w:rsidRPr="00D060C4">
        <w:rPr>
          <w:rFonts w:cs="Arial"/>
        </w:rPr>
        <w:t xml:space="preserve">las Islas Baleares </w:t>
      </w:r>
      <w:r w:rsidRPr="00D060C4">
        <w:rPr>
          <w:rFonts w:cs="Arial"/>
        </w:rPr>
        <w:t xml:space="preserve">se están acercando, de forma sistemática, a los límites de desigualdad más elevados para los países más desarrollados, </w:t>
      </w:r>
      <w:r w:rsidR="00D060C4" w:rsidRPr="00D060C4">
        <w:rPr>
          <w:rFonts w:cs="Arial"/>
        </w:rPr>
        <w:t>alcanzando</w:t>
      </w:r>
      <w:r w:rsidRPr="00D060C4">
        <w:rPr>
          <w:rFonts w:cs="Arial"/>
        </w:rPr>
        <w:t xml:space="preserve"> un índice de desigualdad </w:t>
      </w:r>
      <w:r w:rsidR="001C56F4" w:rsidRPr="00D060C4">
        <w:rPr>
          <w:rFonts w:cs="Arial"/>
        </w:rPr>
        <w:t xml:space="preserve">muy similar </w:t>
      </w:r>
      <w:r w:rsidRPr="00D060C4">
        <w:rPr>
          <w:rFonts w:cs="Arial"/>
        </w:rPr>
        <w:t>a</w:t>
      </w:r>
      <w:r w:rsidR="001C56F4" w:rsidRPr="00D060C4">
        <w:rPr>
          <w:rFonts w:cs="Arial"/>
        </w:rPr>
        <w:t>l de</w:t>
      </w:r>
      <w:r w:rsidRPr="00D060C4">
        <w:rPr>
          <w:rFonts w:cs="Arial"/>
        </w:rPr>
        <w:t xml:space="preserve"> España.</w:t>
      </w:r>
    </w:p>
    <w:p w:rsidR="00EE3716" w:rsidRDefault="00EE3716" w:rsidP="00EE3716">
      <w:pPr>
        <w:pStyle w:val="Pargrafdellista"/>
        <w:spacing w:after="120"/>
        <w:rPr>
          <w:rFonts w:cs="Arial"/>
          <w:b/>
        </w:rPr>
      </w:pPr>
      <w:r w:rsidRPr="001C56F4">
        <w:rPr>
          <w:rFonts w:cs="Arial"/>
          <w:b/>
        </w:rPr>
        <w:t>Evolución del PIB per cápita, y del coeficiente de Gini, entre 2008 y 2012</w:t>
      </w:r>
    </w:p>
    <w:tbl>
      <w:tblPr>
        <w:tblStyle w:val="Llistaclaramfasi6"/>
        <w:tblW w:w="5000" w:type="pct"/>
        <w:tblLook w:val="04A0"/>
      </w:tblPr>
      <w:tblGrid>
        <w:gridCol w:w="1020"/>
        <w:gridCol w:w="810"/>
        <w:gridCol w:w="810"/>
        <w:gridCol w:w="810"/>
        <w:gridCol w:w="810"/>
        <w:gridCol w:w="810"/>
        <w:gridCol w:w="1285"/>
        <w:gridCol w:w="1285"/>
        <w:gridCol w:w="1074"/>
      </w:tblGrid>
      <w:tr w:rsidR="00643DA4" w:rsidRPr="0032127B" w:rsidTr="00AF367C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643DA4" w:rsidRPr="0032127B" w:rsidRDefault="00643DA4" w:rsidP="00AF367C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643DA4" w:rsidRPr="0032127B" w:rsidRDefault="00643DA4" w:rsidP="00AF367C">
            <w:pPr>
              <w:jc w:val="center"/>
              <w:cnfStyle w:val="100000000000"/>
              <w:rPr>
                <w:rFonts w:ascii="Arial" w:eastAsia="Times New Roman" w:hAnsi="Arial" w:cs="Arial"/>
                <w:color w:val="auto"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color w:val="auto"/>
                <w:sz w:val="18"/>
                <w:szCs w:val="20"/>
                <w:lang w:val="es-ES"/>
              </w:rPr>
              <w:t xml:space="preserve">PIB per cápita </w:t>
            </w:r>
          </w:p>
        </w:tc>
        <w:tc>
          <w:tcPr>
            <w:tcW w:w="0" w:type="auto"/>
            <w:gridSpan w:val="3"/>
            <w:noWrap/>
            <w:hideMark/>
          </w:tcPr>
          <w:p w:rsidR="00643DA4" w:rsidRPr="0032127B" w:rsidRDefault="00643DA4" w:rsidP="00AF367C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color w:val="auto"/>
                <w:sz w:val="18"/>
                <w:szCs w:val="20"/>
                <w:lang w:val="es-ES"/>
              </w:rPr>
              <w:t>Coeficiente de Gini</w:t>
            </w:r>
          </w:p>
        </w:tc>
      </w:tr>
      <w:tr w:rsidR="00643DA4" w:rsidRPr="0032127B" w:rsidTr="00AF367C">
        <w:trPr>
          <w:cnfStyle w:val="000000100000"/>
          <w:trHeight w:val="255"/>
        </w:trPr>
        <w:tc>
          <w:tcPr>
            <w:cnfStyle w:val="001000000000"/>
            <w:tcW w:w="0" w:type="auto"/>
            <w:hideMark/>
          </w:tcPr>
          <w:p w:rsidR="00643DA4" w:rsidRPr="0032127B" w:rsidRDefault="00643DA4" w:rsidP="00AF367C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2008</w:t>
            </w:r>
          </w:p>
        </w:tc>
        <w:tc>
          <w:tcPr>
            <w:tcW w:w="0" w:type="auto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2009</w:t>
            </w:r>
          </w:p>
        </w:tc>
        <w:tc>
          <w:tcPr>
            <w:tcW w:w="0" w:type="auto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2010</w:t>
            </w:r>
          </w:p>
        </w:tc>
        <w:tc>
          <w:tcPr>
            <w:tcW w:w="0" w:type="auto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2011</w:t>
            </w:r>
          </w:p>
        </w:tc>
        <w:tc>
          <w:tcPr>
            <w:tcW w:w="0" w:type="auto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2012</w:t>
            </w:r>
          </w:p>
        </w:tc>
        <w:tc>
          <w:tcPr>
            <w:tcW w:w="0" w:type="auto"/>
            <w:noWrap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GINI-ECV08</w:t>
            </w:r>
          </w:p>
        </w:tc>
        <w:tc>
          <w:tcPr>
            <w:tcW w:w="0" w:type="auto"/>
            <w:noWrap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GINI-ECV12</w:t>
            </w:r>
          </w:p>
        </w:tc>
        <w:tc>
          <w:tcPr>
            <w:tcW w:w="0" w:type="auto"/>
            <w:noWrap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Var 12-08</w:t>
            </w:r>
          </w:p>
        </w:tc>
      </w:tr>
      <w:tr w:rsidR="00643DA4" w:rsidRPr="0032127B" w:rsidTr="00AF367C">
        <w:trPr>
          <w:trHeight w:val="255"/>
        </w:trPr>
        <w:tc>
          <w:tcPr>
            <w:cnfStyle w:val="001000000000"/>
            <w:tcW w:w="0" w:type="auto"/>
            <w:noWrap/>
            <w:hideMark/>
          </w:tcPr>
          <w:p w:rsidR="00643DA4" w:rsidRPr="0032127B" w:rsidRDefault="00643DA4" w:rsidP="00AF367C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color w:val="000000"/>
                <w:sz w:val="18"/>
                <w:szCs w:val="20"/>
                <w:lang w:val="es-ES"/>
              </w:rPr>
              <w:t>Baleares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25.634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24.169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23.829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23.769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23.589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0,2912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0,3223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22,4%</w:t>
            </w:r>
          </w:p>
        </w:tc>
      </w:tr>
      <w:tr w:rsidR="00643DA4" w:rsidRPr="0032127B" w:rsidTr="00AF367C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643DA4" w:rsidRPr="0032127B" w:rsidRDefault="00643DA4" w:rsidP="00AF367C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s-ES"/>
              </w:rPr>
            </w:pPr>
            <w:r w:rsidRPr="0032127B">
              <w:rPr>
                <w:rFonts w:ascii="Arial" w:eastAsia="Times New Roman" w:hAnsi="Arial" w:cs="Arial"/>
                <w:color w:val="000000"/>
                <w:sz w:val="18"/>
                <w:szCs w:val="20"/>
                <w:lang w:val="es-ES"/>
              </w:rPr>
              <w:t>España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23.858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22.794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22.695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22.685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22.291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0,3092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0,3359</w:t>
            </w:r>
          </w:p>
        </w:tc>
        <w:tc>
          <w:tcPr>
            <w:tcW w:w="0" w:type="auto"/>
            <w:noWrap/>
            <w:vAlign w:val="center"/>
            <w:hideMark/>
          </w:tcPr>
          <w:p w:rsidR="00643DA4" w:rsidRPr="0032127B" w:rsidRDefault="00643DA4" w:rsidP="00AF367C">
            <w:pPr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27B">
              <w:rPr>
                <w:rFonts w:ascii="Arial" w:hAnsi="Arial" w:cs="Arial"/>
                <w:color w:val="000000"/>
                <w:sz w:val="18"/>
                <w:szCs w:val="18"/>
              </w:rPr>
              <w:t>8,6%</w:t>
            </w:r>
          </w:p>
        </w:tc>
      </w:tr>
    </w:tbl>
    <w:p w:rsidR="003138F3" w:rsidRPr="00FD11CC" w:rsidRDefault="003138F3" w:rsidP="003138F3">
      <w:pPr>
        <w:pStyle w:val="Pargrafdellista"/>
        <w:spacing w:before="60" w:after="240" w:line="240" w:lineRule="auto"/>
        <w:rPr>
          <w:sz w:val="18"/>
        </w:rPr>
      </w:pPr>
      <w:r w:rsidRPr="00FD11CC">
        <w:rPr>
          <w:rFonts w:cs="Arial"/>
          <w:i/>
          <w:sz w:val="18"/>
        </w:rPr>
        <w:t>Fuente</w:t>
      </w:r>
      <w:r w:rsidRPr="008738B9">
        <w:rPr>
          <w:rFonts w:cs="Arial"/>
          <w:sz w:val="18"/>
        </w:rPr>
        <w:t>:</w:t>
      </w:r>
      <w:r>
        <w:rPr>
          <w:rFonts w:cs="Arial"/>
          <w:sz w:val="18"/>
        </w:rPr>
        <w:t xml:space="preserve"> Elaboración propia a partir de</w:t>
      </w:r>
      <w:r w:rsidRPr="008738B9">
        <w:rPr>
          <w:rFonts w:cs="Arial"/>
          <w:sz w:val="18"/>
        </w:rPr>
        <w:t xml:space="preserve"> Contabilidad Regional de España</w:t>
      </w:r>
      <w:r>
        <w:rPr>
          <w:rFonts w:cs="Arial"/>
          <w:sz w:val="18"/>
        </w:rPr>
        <w:t xml:space="preserve"> y ECV</w:t>
      </w:r>
      <w:r w:rsidRPr="008738B9">
        <w:rPr>
          <w:rFonts w:cs="Arial"/>
          <w:sz w:val="18"/>
        </w:rPr>
        <w:t>, INE</w:t>
      </w:r>
    </w:p>
    <w:p w:rsidR="00EE3716" w:rsidRPr="001C56F4" w:rsidRDefault="00EE3716" w:rsidP="00EE3716">
      <w:pPr>
        <w:pStyle w:val="Ttol1"/>
        <w:spacing w:before="0"/>
        <w:rPr>
          <w:sz w:val="28"/>
        </w:rPr>
      </w:pPr>
      <w:r w:rsidRPr="00C13B31">
        <w:rPr>
          <w:rFonts w:cs="Arial"/>
          <w:sz w:val="28"/>
          <w:highlight w:val="yellow"/>
        </w:rPr>
        <w:br w:type="page"/>
      </w:r>
      <w:r w:rsidRPr="001C56F4">
        <w:rPr>
          <w:sz w:val="28"/>
        </w:rPr>
        <w:lastRenderedPageBreak/>
        <w:t>IDEA 3</w:t>
      </w:r>
    </w:p>
    <w:p w:rsidR="00EE3716" w:rsidRPr="00240D47" w:rsidRDefault="00EE3716" w:rsidP="00EE3716">
      <w:pPr>
        <w:spacing w:after="180" w:line="300" w:lineRule="auto"/>
        <w:jc w:val="both"/>
        <w:rPr>
          <w:rFonts w:ascii="Arial" w:hAnsi="Arial" w:cs="Arial"/>
          <w:sz w:val="20"/>
        </w:rPr>
      </w:pPr>
      <w:r w:rsidRPr="0057364D">
        <w:rPr>
          <w:rFonts w:ascii="Arial" w:hAnsi="Arial" w:cs="Arial"/>
          <w:b/>
          <w:sz w:val="20"/>
        </w:rPr>
        <w:t xml:space="preserve">El núcleo central de la sociedad </w:t>
      </w:r>
      <w:r w:rsidR="0057364D" w:rsidRPr="0057364D">
        <w:rPr>
          <w:rFonts w:ascii="Arial" w:hAnsi="Arial" w:cs="Arial"/>
          <w:b/>
          <w:sz w:val="20"/>
        </w:rPr>
        <w:t>balear</w:t>
      </w:r>
      <w:r w:rsidRPr="0057364D">
        <w:rPr>
          <w:rFonts w:ascii="Arial" w:hAnsi="Arial" w:cs="Arial"/>
          <w:b/>
          <w:sz w:val="20"/>
        </w:rPr>
        <w:t xml:space="preserve">que llamamos </w:t>
      </w:r>
      <w:r w:rsidRPr="0057364D">
        <w:rPr>
          <w:rFonts w:ascii="Arial" w:hAnsi="Arial" w:cs="Arial"/>
          <w:b/>
          <w:i/>
          <w:sz w:val="20"/>
        </w:rPr>
        <w:t>integración plena</w:t>
      </w:r>
      <w:r w:rsidRPr="0057364D">
        <w:rPr>
          <w:rFonts w:ascii="Arial" w:hAnsi="Arial" w:cs="Arial"/>
          <w:b/>
          <w:sz w:val="20"/>
        </w:rPr>
        <w:t xml:space="preserve">, es ya una </w:t>
      </w:r>
      <w:r w:rsidRPr="00240D47">
        <w:rPr>
          <w:rFonts w:ascii="Arial" w:hAnsi="Arial" w:cs="Arial"/>
          <w:b/>
          <w:sz w:val="20"/>
        </w:rPr>
        <w:t>estricta minoría</w:t>
      </w:r>
      <w:r w:rsidRPr="00240D47">
        <w:rPr>
          <w:rFonts w:ascii="Arial" w:hAnsi="Arial" w:cs="Arial"/>
          <w:sz w:val="20"/>
        </w:rPr>
        <w:t xml:space="preserve">. </w:t>
      </w:r>
    </w:p>
    <w:p w:rsidR="003A0E2A" w:rsidRPr="00240D47" w:rsidRDefault="00EE3716" w:rsidP="00EE3716">
      <w:pPr>
        <w:spacing w:after="180" w:line="300" w:lineRule="auto"/>
        <w:jc w:val="both"/>
        <w:rPr>
          <w:rFonts w:ascii="Arial" w:hAnsi="Arial" w:cs="Arial"/>
          <w:sz w:val="20"/>
        </w:rPr>
      </w:pPr>
      <w:r w:rsidRPr="00240D47">
        <w:rPr>
          <w:rFonts w:ascii="Arial" w:hAnsi="Arial" w:cs="Arial"/>
          <w:sz w:val="20"/>
        </w:rPr>
        <w:t xml:space="preserve">En el conjunto de la población, ha aumentado el espacio de la exclusión social en España entre 2007 y 2013. En </w:t>
      </w:r>
      <w:r w:rsidR="0057364D" w:rsidRPr="00240D47">
        <w:rPr>
          <w:rFonts w:ascii="Arial" w:hAnsi="Arial" w:cs="Arial"/>
          <w:sz w:val="20"/>
        </w:rPr>
        <w:t xml:space="preserve">las Islas Baleares solo el 30% de la población no se encuentra afectada por ningún indicador de exclusión social. </w:t>
      </w:r>
    </w:p>
    <w:p w:rsidR="003A0E2A" w:rsidRDefault="003A0E2A" w:rsidP="00EE3716">
      <w:pPr>
        <w:spacing w:after="180" w:line="300" w:lineRule="auto"/>
        <w:jc w:val="both"/>
        <w:rPr>
          <w:rFonts w:ascii="Arial" w:hAnsi="Arial" w:cs="Arial"/>
          <w:sz w:val="20"/>
        </w:rPr>
      </w:pPr>
      <w:r w:rsidRPr="00240D47">
        <w:rPr>
          <w:rFonts w:ascii="Arial" w:hAnsi="Arial" w:cs="Arial"/>
          <w:sz w:val="20"/>
        </w:rPr>
        <w:t xml:space="preserve">En Baleares se estima  que 115.000 hogares (306.000 personas) que se encuentran en exclusión social. Una exclusión social distribuida de manera </w:t>
      </w:r>
      <w:r w:rsidRPr="00B35CF8">
        <w:rPr>
          <w:rFonts w:ascii="Arial" w:hAnsi="Arial" w:cs="Arial"/>
          <w:sz w:val="20"/>
        </w:rPr>
        <w:t>equivalente entre la exclusión moderada y la exclusión severa y con una incidencia superior a la de España.</w:t>
      </w:r>
    </w:p>
    <w:p w:rsidR="003A0E2A" w:rsidRDefault="003A0E2A" w:rsidP="00EE3716">
      <w:pPr>
        <w:spacing w:after="180" w:line="300" w:lineRule="auto"/>
        <w:jc w:val="both"/>
        <w:rPr>
          <w:rFonts w:ascii="Arial" w:hAnsi="Arial" w:cs="Arial"/>
          <w:sz w:val="20"/>
        </w:rPr>
      </w:pPr>
      <w:r w:rsidRPr="003A0E2A">
        <w:rPr>
          <w:rFonts w:ascii="Arial" w:hAnsi="Arial" w:cs="Arial"/>
          <w:sz w:val="20"/>
        </w:rPr>
        <w:t>Entre ellos, es primordial ofrecer una atención de urgencia a los 41.000 hogares (130.000 personas) que están en una situación de exclusión social severa</w:t>
      </w:r>
    </w:p>
    <w:p w:rsidR="003138F3" w:rsidRPr="00C251DF" w:rsidRDefault="003138F3" w:rsidP="003138F3">
      <w:pPr>
        <w:pStyle w:val="Pargrafdellista"/>
        <w:spacing w:before="240" w:after="120" w:line="240" w:lineRule="auto"/>
        <w:rPr>
          <w:b/>
        </w:rPr>
      </w:pPr>
      <w:r w:rsidRPr="00C251DF">
        <w:rPr>
          <w:b/>
        </w:rPr>
        <w:t xml:space="preserve">Gráfico 2.1. Evolución de los niveles de integración social en la población de España (2007-2013) y nivel de integración social en </w:t>
      </w:r>
      <w:r w:rsidR="00643DA4">
        <w:rPr>
          <w:b/>
        </w:rPr>
        <w:t>Islas Baleares</w:t>
      </w:r>
      <w:r w:rsidRPr="00C251DF">
        <w:rPr>
          <w:b/>
        </w:rPr>
        <w:t xml:space="preserve"> en 2013 (%)</w:t>
      </w:r>
    </w:p>
    <w:p w:rsidR="00EE3716" w:rsidRPr="008A6235" w:rsidRDefault="00643DA4" w:rsidP="00EE3716">
      <w:pPr>
        <w:jc w:val="both"/>
        <w:rPr>
          <w:rFonts w:ascii="Arial" w:hAnsi="Arial" w:cs="Arial"/>
          <w:b/>
        </w:rPr>
      </w:pPr>
      <w:r w:rsidRPr="003E6030">
        <w:rPr>
          <w:noProof/>
          <w:lang w:val="es-ES"/>
        </w:rPr>
        <w:drawing>
          <wp:inline distT="0" distB="0" distL="0" distR="0">
            <wp:extent cx="5396230" cy="3215640"/>
            <wp:effectExtent l="0" t="0" r="13970" b="2286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3716" w:rsidRPr="008A6235" w:rsidRDefault="00EE3716" w:rsidP="00EE3716">
      <w:pPr>
        <w:pStyle w:val="Pargrafdellista"/>
        <w:spacing w:before="60" w:after="240" w:line="240" w:lineRule="auto"/>
        <w:rPr>
          <w:rFonts w:cs="Arial"/>
          <w:sz w:val="18"/>
        </w:rPr>
      </w:pPr>
      <w:r w:rsidRPr="008A6235">
        <w:rPr>
          <w:rFonts w:cs="Arial"/>
          <w:i/>
          <w:sz w:val="18"/>
        </w:rPr>
        <w:t>Fuente</w:t>
      </w:r>
      <w:r w:rsidRPr="008A6235">
        <w:rPr>
          <w:rFonts w:cs="Arial"/>
          <w:sz w:val="18"/>
        </w:rPr>
        <w:t>: EINSFOESSA 2013</w:t>
      </w:r>
    </w:p>
    <w:p w:rsidR="00EE3716" w:rsidRPr="00C13B31" w:rsidRDefault="00EE3716" w:rsidP="00EE3716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EE3716" w:rsidRPr="008A6235" w:rsidRDefault="00EE3716" w:rsidP="00EE3716">
      <w:pPr>
        <w:pStyle w:val="Ttol1"/>
        <w:spacing w:before="0"/>
        <w:rPr>
          <w:rFonts w:cs="Arial"/>
          <w:sz w:val="24"/>
        </w:rPr>
      </w:pPr>
      <w:r w:rsidRPr="008A6235">
        <w:rPr>
          <w:rFonts w:cs="Arial"/>
          <w:sz w:val="32"/>
        </w:rPr>
        <w:lastRenderedPageBreak/>
        <w:t>IDEA 4</w:t>
      </w:r>
    </w:p>
    <w:p w:rsidR="00EE3716" w:rsidRPr="00240D47" w:rsidRDefault="00EE3716" w:rsidP="00EE3716">
      <w:pPr>
        <w:pStyle w:val="Pargrafdellista"/>
        <w:rPr>
          <w:rFonts w:cs="Arial"/>
          <w:b/>
        </w:rPr>
      </w:pPr>
      <w:r w:rsidRPr="00240D47">
        <w:rPr>
          <w:rFonts w:cs="Arial"/>
          <w:b/>
        </w:rPr>
        <w:t xml:space="preserve">Los problemas de exclusión que más afectan a la sociedad </w:t>
      </w:r>
      <w:r w:rsidR="00841437">
        <w:rPr>
          <w:rFonts w:cs="Arial"/>
          <w:b/>
        </w:rPr>
        <w:t xml:space="preserve">balear </w:t>
      </w:r>
      <w:r w:rsidRPr="00240D47">
        <w:rPr>
          <w:rFonts w:cs="Arial"/>
          <w:b/>
        </w:rPr>
        <w:t xml:space="preserve">son los relacionados con el empleo, la </w:t>
      </w:r>
      <w:r w:rsidR="00240D47" w:rsidRPr="00240D47">
        <w:rPr>
          <w:rFonts w:cs="Arial"/>
          <w:b/>
        </w:rPr>
        <w:t xml:space="preserve">participación política </w:t>
      </w:r>
      <w:r w:rsidRPr="00240D47">
        <w:rPr>
          <w:rFonts w:cs="Arial"/>
          <w:b/>
        </w:rPr>
        <w:t xml:space="preserve">y la </w:t>
      </w:r>
      <w:r w:rsidR="00240D47" w:rsidRPr="00240D47">
        <w:rPr>
          <w:rFonts w:cs="Arial"/>
          <w:b/>
        </w:rPr>
        <w:t>vivienda</w:t>
      </w:r>
      <w:r w:rsidR="009256F6" w:rsidRPr="00240D47">
        <w:rPr>
          <w:rStyle w:val="Refernciadenotaapeudepgina"/>
          <w:rFonts w:cs="Arial"/>
          <w:b/>
        </w:rPr>
        <w:footnoteReference w:id="2"/>
      </w:r>
      <w:r w:rsidRPr="00240D47">
        <w:rPr>
          <w:rFonts w:cs="Arial"/>
          <w:b/>
        </w:rPr>
        <w:t>.</w:t>
      </w:r>
    </w:p>
    <w:p w:rsidR="00E727AB" w:rsidRPr="00240D47" w:rsidRDefault="00135CD8" w:rsidP="00EE3716">
      <w:pPr>
        <w:pStyle w:val="Pargrafdellista"/>
        <w:rPr>
          <w:rFonts w:cs="Arial"/>
        </w:rPr>
      </w:pPr>
      <w:r w:rsidRPr="00240D47">
        <w:rPr>
          <w:rFonts w:cs="Arial"/>
        </w:rPr>
        <w:t>Además, los problemas relacionados con el c</w:t>
      </w:r>
      <w:r w:rsidR="00E727AB" w:rsidRPr="00240D47">
        <w:rPr>
          <w:rFonts w:cs="Arial"/>
        </w:rPr>
        <w:t>onsumo</w:t>
      </w:r>
      <w:r w:rsidRPr="00240D47">
        <w:rPr>
          <w:rFonts w:cs="Arial"/>
        </w:rPr>
        <w:t xml:space="preserve"> afectan en m</w:t>
      </w:r>
      <w:r w:rsidR="00240D47" w:rsidRPr="00240D47">
        <w:rPr>
          <w:rFonts w:cs="Arial"/>
        </w:rPr>
        <w:t xml:space="preserve">ayor medida a los hogares de Baleares </w:t>
      </w:r>
      <w:r w:rsidRPr="00240D47">
        <w:rPr>
          <w:rFonts w:cs="Arial"/>
        </w:rPr>
        <w:t xml:space="preserve">que a los de España, principalmente por una mayor prevalencia de la pobreza extrema (ingresos inferiores al 30% de la renta familiar mediana equivalente. Umbral estable en Euros constantes como media de los 3 años: 3.273€ por unidad de consumo en 2013). </w:t>
      </w:r>
    </w:p>
    <w:p w:rsidR="00240D47" w:rsidRDefault="00135CD8" w:rsidP="00EE3716">
      <w:pPr>
        <w:pStyle w:val="Pargrafdellista"/>
        <w:rPr>
          <w:rFonts w:eastAsia="Times New Roman" w:cs="Arial"/>
          <w:color w:val="000000"/>
          <w:sz w:val="16"/>
          <w:szCs w:val="16"/>
          <w:lang w:val="es-ES"/>
        </w:rPr>
      </w:pPr>
      <w:r w:rsidRPr="00240D47">
        <w:rPr>
          <w:rFonts w:cs="Arial"/>
        </w:rPr>
        <w:t xml:space="preserve">Por </w:t>
      </w:r>
      <w:r w:rsidR="003138F3" w:rsidRPr="00240D47">
        <w:rPr>
          <w:rFonts w:cs="Arial"/>
        </w:rPr>
        <w:t>otra parte</w:t>
      </w:r>
      <w:r w:rsidRPr="00240D47">
        <w:rPr>
          <w:rFonts w:cs="Arial"/>
        </w:rPr>
        <w:t xml:space="preserve">, los problemas relacionados </w:t>
      </w:r>
      <w:r w:rsidR="00240D47" w:rsidRPr="00240D47">
        <w:rPr>
          <w:rFonts w:cs="Arial"/>
        </w:rPr>
        <w:t xml:space="preserve">con el aislamiento socialafecta </w:t>
      </w:r>
      <w:r w:rsidRPr="00240D47">
        <w:rPr>
          <w:rFonts w:cs="Arial"/>
        </w:rPr>
        <w:t xml:space="preserve">también </w:t>
      </w:r>
      <w:r w:rsidR="00EE3716" w:rsidRPr="00240D47">
        <w:rPr>
          <w:rFonts w:cs="Arial"/>
        </w:rPr>
        <w:t xml:space="preserve">en mayor medida a los hogares </w:t>
      </w:r>
      <w:r w:rsidR="00240D47" w:rsidRPr="00240D47">
        <w:rPr>
          <w:rFonts w:cs="Arial"/>
        </w:rPr>
        <w:t xml:space="preserve">de Baleares </w:t>
      </w:r>
      <w:r w:rsidR="00EE3716" w:rsidRPr="00240D47">
        <w:rPr>
          <w:rFonts w:cs="Arial"/>
        </w:rPr>
        <w:t xml:space="preserve">que a los de España, </w:t>
      </w:r>
      <w:r w:rsidR="003138F3" w:rsidRPr="00240D47">
        <w:rPr>
          <w:rFonts w:cs="Arial"/>
        </w:rPr>
        <w:t xml:space="preserve">en este caso </w:t>
      </w:r>
      <w:r w:rsidR="00EE3716" w:rsidRPr="00240D47">
        <w:rPr>
          <w:rFonts w:cs="Arial"/>
        </w:rPr>
        <w:t xml:space="preserve">por una mayor prevalencia de hogares </w:t>
      </w:r>
      <w:r w:rsidRPr="00240D47">
        <w:rPr>
          <w:rFonts w:cs="Arial"/>
        </w:rPr>
        <w:t xml:space="preserve">en los que </w:t>
      </w:r>
      <w:r w:rsidR="00240D47" w:rsidRPr="00240D47">
        <w:rPr>
          <w:rFonts w:cs="Arial"/>
        </w:rPr>
        <w:t>hay personas sin relaciones en el hogar y que no cuentan con ningún apoyo para situaciones de enfermedad o de dificultad</w:t>
      </w:r>
      <w:r w:rsidR="00B35CF8">
        <w:rPr>
          <w:rFonts w:cs="Arial"/>
        </w:rPr>
        <w:t>, el 2,3% (25.600 personas) en Baleares, frente al 1,2% en España</w:t>
      </w:r>
    </w:p>
    <w:p w:rsidR="00EE3716" w:rsidRPr="00856195" w:rsidRDefault="00240D47" w:rsidP="00EE3716">
      <w:pPr>
        <w:pStyle w:val="Pargrafdellista"/>
        <w:spacing w:before="240" w:after="120" w:line="240" w:lineRule="auto"/>
        <w:rPr>
          <w:b/>
        </w:rPr>
      </w:pPr>
      <w:r>
        <w:rPr>
          <w:b/>
        </w:rPr>
        <w:t>P</w:t>
      </w:r>
      <w:r w:rsidR="00EE3716" w:rsidRPr="00856195">
        <w:rPr>
          <w:b/>
        </w:rPr>
        <w:t>oblación de</w:t>
      </w:r>
      <w:r w:rsidR="0063234E">
        <w:rPr>
          <w:b/>
        </w:rPr>
        <w:t>Islas Baleares</w:t>
      </w:r>
      <w:r w:rsidR="00EE3716" w:rsidRPr="00856195">
        <w:rPr>
          <w:b/>
        </w:rPr>
        <w:t xml:space="preserve"> y España en 2013 afectada por cada una de las dimensiones de la exclusión para el total de la población (%)</w:t>
      </w:r>
    </w:p>
    <w:p w:rsidR="00EE3716" w:rsidRPr="00C13B31" w:rsidRDefault="001122B0" w:rsidP="00EE3716">
      <w:pPr>
        <w:rPr>
          <w:rFonts w:ascii="Arial" w:hAnsi="Arial" w:cs="Arial"/>
          <w:b/>
          <w:highlight w:val="yellow"/>
        </w:rPr>
      </w:pPr>
      <w:r>
        <w:rPr>
          <w:noProof/>
          <w:lang w:val="es-ES"/>
        </w:rPr>
        <w:drawing>
          <wp:inline distT="0" distB="0" distL="0" distR="0">
            <wp:extent cx="5400000" cy="2880000"/>
            <wp:effectExtent l="0" t="0" r="10795" b="1587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716" w:rsidRPr="00856195" w:rsidRDefault="00EE3716" w:rsidP="00EE3716">
      <w:pPr>
        <w:pStyle w:val="Pargrafdellista"/>
        <w:spacing w:before="60" w:after="240" w:line="240" w:lineRule="auto"/>
        <w:rPr>
          <w:rFonts w:cs="Arial"/>
          <w:sz w:val="18"/>
        </w:rPr>
      </w:pPr>
      <w:r w:rsidRPr="00856195">
        <w:rPr>
          <w:rFonts w:cs="Arial"/>
          <w:i/>
          <w:sz w:val="18"/>
        </w:rPr>
        <w:t>Fuente</w:t>
      </w:r>
      <w:r w:rsidRPr="00856195">
        <w:rPr>
          <w:rFonts w:cs="Arial"/>
          <w:sz w:val="18"/>
        </w:rPr>
        <w:t>: EINSFOESSA 2013</w:t>
      </w:r>
    </w:p>
    <w:p w:rsidR="00EE3716" w:rsidRPr="00C13B31" w:rsidRDefault="00EE3716" w:rsidP="00EE3716">
      <w:pPr>
        <w:rPr>
          <w:rFonts w:ascii="Arial" w:hAnsi="Arial" w:cs="Arial"/>
          <w:b/>
          <w:highlight w:val="yellow"/>
        </w:rPr>
      </w:pPr>
    </w:p>
    <w:p w:rsidR="00EE3716" w:rsidRPr="00C13B31" w:rsidRDefault="00EE3716" w:rsidP="00EE3716">
      <w:pPr>
        <w:rPr>
          <w:rFonts w:ascii="Arial" w:hAnsi="Arial" w:cs="Arial"/>
          <w:b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EE3716" w:rsidRPr="00417519" w:rsidRDefault="00EE3716" w:rsidP="00EE3716">
      <w:pPr>
        <w:pStyle w:val="Ttol1"/>
        <w:spacing w:before="0"/>
        <w:rPr>
          <w:rFonts w:cs="Arial"/>
          <w:sz w:val="32"/>
        </w:rPr>
      </w:pPr>
      <w:r w:rsidRPr="00417519">
        <w:rPr>
          <w:rFonts w:cs="Arial"/>
          <w:sz w:val="32"/>
        </w:rPr>
        <w:lastRenderedPageBreak/>
        <w:t xml:space="preserve">IDEA 5 </w:t>
      </w:r>
    </w:p>
    <w:p w:rsidR="00EE3716" w:rsidRPr="004163E8" w:rsidRDefault="008409E2" w:rsidP="00EE3716">
      <w:pPr>
        <w:spacing w:after="180" w:line="300" w:lineRule="auto"/>
        <w:rPr>
          <w:rFonts w:ascii="Arial" w:hAnsi="Arial" w:cs="Arial"/>
          <w:b/>
          <w:sz w:val="20"/>
          <w:szCs w:val="20"/>
        </w:rPr>
      </w:pPr>
      <w:r w:rsidRPr="004163E8">
        <w:rPr>
          <w:rFonts w:ascii="Arial" w:hAnsi="Arial" w:cs="Arial"/>
          <w:b/>
          <w:sz w:val="20"/>
          <w:szCs w:val="20"/>
        </w:rPr>
        <w:t>El 4</w:t>
      </w:r>
      <w:r w:rsidR="004163E8" w:rsidRPr="004163E8">
        <w:rPr>
          <w:rFonts w:ascii="Arial" w:hAnsi="Arial" w:cs="Arial"/>
          <w:b/>
          <w:sz w:val="20"/>
          <w:szCs w:val="20"/>
        </w:rPr>
        <w:t>1</w:t>
      </w:r>
      <w:r w:rsidR="009A6690" w:rsidRPr="004163E8">
        <w:rPr>
          <w:rFonts w:ascii="Arial" w:hAnsi="Arial" w:cs="Arial"/>
          <w:b/>
          <w:sz w:val="20"/>
          <w:szCs w:val="20"/>
        </w:rPr>
        <w:t>%</w:t>
      </w:r>
      <w:r w:rsidR="00EE3716" w:rsidRPr="004163E8">
        <w:rPr>
          <w:rFonts w:ascii="Arial" w:hAnsi="Arial" w:cs="Arial"/>
          <w:b/>
          <w:sz w:val="20"/>
          <w:szCs w:val="20"/>
        </w:rPr>
        <w:t xml:space="preserve"> de la población de </w:t>
      </w:r>
      <w:r w:rsidR="004163E8" w:rsidRPr="004163E8">
        <w:rPr>
          <w:rFonts w:ascii="Arial" w:hAnsi="Arial" w:cs="Arial"/>
          <w:b/>
          <w:sz w:val="20"/>
          <w:szCs w:val="20"/>
        </w:rPr>
        <w:t xml:space="preserve">Baleares </w:t>
      </w:r>
      <w:r w:rsidR="00EE3716" w:rsidRPr="004163E8">
        <w:rPr>
          <w:rFonts w:ascii="Arial" w:hAnsi="Arial" w:cs="Arial"/>
          <w:b/>
          <w:sz w:val="20"/>
          <w:szCs w:val="20"/>
        </w:rPr>
        <w:t>sufre la exclusión del empleo</w:t>
      </w:r>
      <w:r w:rsidR="009256F6" w:rsidRPr="004163E8">
        <w:rPr>
          <w:rStyle w:val="Refernciadenotaapeudepgina"/>
          <w:rFonts w:ascii="Arial" w:hAnsi="Arial" w:cs="Arial"/>
          <w:b/>
          <w:sz w:val="20"/>
          <w:szCs w:val="20"/>
        </w:rPr>
        <w:footnoteReference w:id="3"/>
      </w:r>
      <w:r w:rsidR="00EE3716" w:rsidRPr="004163E8">
        <w:rPr>
          <w:rFonts w:ascii="Arial" w:hAnsi="Arial" w:cs="Arial"/>
          <w:b/>
          <w:sz w:val="20"/>
          <w:szCs w:val="20"/>
        </w:rPr>
        <w:t>.</w:t>
      </w:r>
    </w:p>
    <w:p w:rsidR="004163E8" w:rsidRPr="004163E8" w:rsidRDefault="004163E8" w:rsidP="004163E8">
      <w:pPr>
        <w:pStyle w:val="Pargrafdellista"/>
        <w:rPr>
          <w:rFonts w:cs="Arial"/>
        </w:rPr>
      </w:pPr>
      <w:r w:rsidRPr="004163E8">
        <w:rPr>
          <w:rFonts w:cs="Arial"/>
        </w:rPr>
        <w:t>El desempleo afecta en muchos casos a todas las personas activas del hogar (12% en Baleares frente al 11% en España) un desempleo cuya duración se hace más larga entre los sustentadores principales del hogar, y un desempleo que en muchas ocasiones no se acompaña de alternativas formativas que mejoren la empleabilidad de las personas que lo sufren.</w:t>
      </w:r>
    </w:p>
    <w:p w:rsidR="00EE3716" w:rsidRPr="004163E8" w:rsidRDefault="004163E8" w:rsidP="004163E8">
      <w:pPr>
        <w:spacing w:after="180" w:line="30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163E8">
        <w:rPr>
          <w:rFonts w:ascii="Arial" w:hAnsi="Arial" w:cs="Arial"/>
          <w:sz w:val="20"/>
          <w:szCs w:val="20"/>
        </w:rPr>
        <w:t xml:space="preserve">La adquisición de estudios más allá de los obligatorios, </w:t>
      </w:r>
      <w:r w:rsidR="007220FE">
        <w:rPr>
          <w:rFonts w:ascii="Arial" w:hAnsi="Arial" w:cs="Arial"/>
          <w:sz w:val="20"/>
          <w:szCs w:val="20"/>
        </w:rPr>
        <w:t xml:space="preserve">casi </w:t>
      </w:r>
      <w:r w:rsidRPr="004163E8">
        <w:rPr>
          <w:rFonts w:ascii="Arial" w:hAnsi="Arial" w:cs="Arial"/>
          <w:sz w:val="20"/>
          <w:szCs w:val="20"/>
        </w:rPr>
        <w:t>duplica la posibilidad de tener un empleo en estos momentos. A</w:t>
      </w:r>
      <w:r w:rsidR="00EE3716" w:rsidRPr="004163E8">
        <w:rPr>
          <w:rFonts w:ascii="Arial" w:hAnsi="Arial" w:cs="Arial"/>
          <w:sz w:val="20"/>
          <w:szCs w:val="20"/>
        </w:rPr>
        <w:t xml:space="preserve">unque la formación actúa como factor de protección ante el desempleo y la exclusión social, se detecta un elevado nivel de hogares con personas en paro y sin haber recibido formación ocupacional en el último año, el </w:t>
      </w:r>
      <w:r w:rsidRPr="004163E8">
        <w:rPr>
          <w:rFonts w:ascii="Arial" w:hAnsi="Arial" w:cs="Arial"/>
          <w:sz w:val="20"/>
          <w:szCs w:val="20"/>
        </w:rPr>
        <w:t>29</w:t>
      </w:r>
      <w:r w:rsidR="00EE3716" w:rsidRPr="004163E8">
        <w:rPr>
          <w:rFonts w:ascii="Arial" w:hAnsi="Arial" w:cs="Arial"/>
          <w:sz w:val="20"/>
          <w:szCs w:val="20"/>
        </w:rPr>
        <w:t>%, frente al 28% en España.</w:t>
      </w:r>
    </w:p>
    <w:p w:rsidR="00EE3716" w:rsidRPr="008409E2" w:rsidRDefault="00EE3716" w:rsidP="003138F3">
      <w:pPr>
        <w:pStyle w:val="Pargrafdellista"/>
        <w:spacing w:after="120" w:line="240" w:lineRule="auto"/>
        <w:rPr>
          <w:rFonts w:cs="Arial"/>
          <w:b/>
        </w:rPr>
      </w:pPr>
      <w:r w:rsidRPr="008409E2">
        <w:rPr>
          <w:rFonts w:cs="Arial"/>
          <w:b/>
        </w:rPr>
        <w:t xml:space="preserve">Porcentaje de personas de 16 a 65 años con un empleo, según nivel de estudios, en </w:t>
      </w:r>
      <w:r w:rsidR="00301259">
        <w:rPr>
          <w:rFonts w:cs="Arial"/>
          <w:b/>
        </w:rPr>
        <w:t>Islas Baleares</w:t>
      </w:r>
      <w:r w:rsidRPr="008409E2">
        <w:rPr>
          <w:rFonts w:cs="Arial"/>
          <w:b/>
        </w:rPr>
        <w:t xml:space="preserve"> y España</w:t>
      </w:r>
    </w:p>
    <w:p w:rsidR="00EE3716" w:rsidRPr="00C13B31" w:rsidRDefault="00301259" w:rsidP="00EE3716">
      <w:pPr>
        <w:pStyle w:val="Pargrafdellista"/>
        <w:spacing w:after="0" w:line="240" w:lineRule="auto"/>
        <w:rPr>
          <w:rFonts w:cs="Arial"/>
          <w:highlight w:val="yellow"/>
        </w:rPr>
      </w:pPr>
      <w:r w:rsidRPr="001A5634">
        <w:rPr>
          <w:noProof/>
          <w:lang w:val="es-ES"/>
        </w:rPr>
        <w:drawing>
          <wp:inline distT="0" distB="0" distL="0" distR="0">
            <wp:extent cx="5396230" cy="2531565"/>
            <wp:effectExtent l="0" t="0" r="13970" b="2159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3716" w:rsidRPr="008409E2" w:rsidRDefault="00EE3716" w:rsidP="00EE3716">
      <w:pPr>
        <w:pStyle w:val="Pargrafdellista"/>
        <w:spacing w:before="60" w:after="240" w:line="240" w:lineRule="auto"/>
        <w:rPr>
          <w:rFonts w:cs="Arial"/>
          <w:sz w:val="18"/>
        </w:rPr>
      </w:pPr>
      <w:r w:rsidRPr="008409E2">
        <w:rPr>
          <w:rFonts w:cs="Arial"/>
          <w:i/>
          <w:sz w:val="18"/>
        </w:rPr>
        <w:t>Fuente</w:t>
      </w:r>
      <w:r w:rsidRPr="008409E2">
        <w:rPr>
          <w:rFonts w:cs="Arial"/>
          <w:sz w:val="18"/>
        </w:rPr>
        <w:t>: EINSFOESSA 2013</w:t>
      </w:r>
    </w:p>
    <w:p w:rsidR="007220FE" w:rsidRDefault="007220FE">
      <w:pPr>
        <w:rPr>
          <w:rFonts w:ascii="Arial" w:hAnsi="Arial" w:cs="Arial"/>
          <w:b/>
          <w:sz w:val="32"/>
          <w:szCs w:val="36"/>
        </w:rPr>
      </w:pPr>
      <w:r>
        <w:rPr>
          <w:rFonts w:cs="Arial"/>
          <w:sz w:val="32"/>
        </w:rPr>
        <w:br w:type="page"/>
      </w:r>
    </w:p>
    <w:p w:rsidR="00EE3716" w:rsidRPr="008409E2" w:rsidRDefault="00EE3716" w:rsidP="00EE3716">
      <w:pPr>
        <w:pStyle w:val="Ttol1"/>
        <w:spacing w:before="0"/>
        <w:rPr>
          <w:rFonts w:cs="Arial"/>
          <w:sz w:val="32"/>
        </w:rPr>
      </w:pPr>
      <w:r w:rsidRPr="008409E2">
        <w:rPr>
          <w:rFonts w:cs="Arial"/>
          <w:sz w:val="32"/>
        </w:rPr>
        <w:lastRenderedPageBreak/>
        <w:t xml:space="preserve">IDEA 6 </w:t>
      </w:r>
    </w:p>
    <w:p w:rsidR="007220FE" w:rsidRPr="007220FE" w:rsidRDefault="007220FE" w:rsidP="00EE3716">
      <w:pPr>
        <w:pStyle w:val="Pargrafdellista"/>
        <w:rPr>
          <w:rFonts w:cs="Arial"/>
          <w:b/>
          <w:highlight w:val="yellow"/>
        </w:rPr>
      </w:pPr>
      <w:r w:rsidRPr="007220FE">
        <w:rPr>
          <w:b/>
        </w:rPr>
        <w:t>3 de cada 10 personas en Baleares se encuentra alejada del espacio de participación política y social</w:t>
      </w:r>
    </w:p>
    <w:p w:rsidR="007220FE" w:rsidRDefault="007220FE" w:rsidP="00EE3716">
      <w:pPr>
        <w:pStyle w:val="Pargrafdellista"/>
      </w:pPr>
      <w:r w:rsidRPr="00C131B2">
        <w:t>La exclusión de la participación política y social es, por un lado, la privación del derecho a elegir representantes políticos y a ser elegido y, por otro lado, la falta de interés y motivación por la participación en la toma de decisiones colectivas.</w:t>
      </w:r>
    </w:p>
    <w:p w:rsidR="007220FE" w:rsidRDefault="007220FE" w:rsidP="00EE3716">
      <w:pPr>
        <w:pStyle w:val="Pargrafdellista"/>
      </w:pPr>
      <w:r>
        <w:t>La exclusión de la participación política a</w:t>
      </w:r>
      <w:r w:rsidRPr="00C131B2">
        <w:t xml:space="preserve">fecta principalmente a la población </w:t>
      </w:r>
      <w:r>
        <w:t>que no pertenece a la UE15</w:t>
      </w:r>
      <w:r w:rsidRPr="00C131B2">
        <w:t>, a las personas de 30 a 44 años y los desempleados.</w:t>
      </w:r>
    </w:p>
    <w:p w:rsidR="007220FE" w:rsidRDefault="007220FE" w:rsidP="00EE3716">
      <w:pPr>
        <w:pStyle w:val="Pargrafdellista"/>
      </w:pPr>
      <w:r>
        <w:t>L</w:t>
      </w:r>
      <w:r w:rsidRPr="0004096A">
        <w:t>a falta de interés y motivación por la participación en la toma de decisiones colectivas es mucho mayor en Baleares, alcanzando al 22%, frente al 8% en España</w:t>
      </w:r>
      <w:r>
        <w:t>.</w:t>
      </w:r>
    </w:p>
    <w:p w:rsidR="007220FE" w:rsidRDefault="007220FE" w:rsidP="00EE3716">
      <w:pPr>
        <w:pStyle w:val="Pargrafdellista"/>
        <w:rPr>
          <w:rFonts w:cs="Arial"/>
          <w:highlight w:val="yellow"/>
        </w:rPr>
      </w:pPr>
      <w:r>
        <w:t>L</w:t>
      </w:r>
      <w:r w:rsidRPr="007220FE">
        <w:t xml:space="preserve">a creencia de que el voto en las elecciones municipales no sirve para nada entre la población excluida, </w:t>
      </w:r>
      <w:r w:rsidR="003B69E5">
        <w:t xml:space="preserve">es </w:t>
      </w:r>
      <w:r w:rsidRPr="007220FE">
        <w:t xml:space="preserve">6 veces superior a la población integrada. </w:t>
      </w:r>
    </w:p>
    <w:p w:rsidR="003B69E5" w:rsidRDefault="003B69E5" w:rsidP="00D1712E">
      <w:pPr>
        <w:pStyle w:val="Pargrafdellista"/>
        <w:spacing w:after="0" w:line="240" w:lineRule="auto"/>
        <w:rPr>
          <w:noProof/>
          <w:lang w:val="es-ES"/>
        </w:rPr>
      </w:pPr>
      <w:r w:rsidRPr="0004096A">
        <w:rPr>
          <w:b/>
        </w:rPr>
        <w:t>Distribución porcentual de la frecuencia con la que participan los informantes en las elecciones municipales, en Baleares y España</w:t>
      </w:r>
    </w:p>
    <w:p w:rsidR="003B69E5" w:rsidRDefault="003B69E5" w:rsidP="00D1712E">
      <w:pPr>
        <w:pStyle w:val="Pargrafdellista"/>
        <w:spacing w:after="0" w:line="240" w:lineRule="auto"/>
        <w:rPr>
          <w:noProof/>
          <w:lang w:val="es-ES"/>
        </w:rPr>
      </w:pPr>
    </w:p>
    <w:p w:rsidR="00D1712E" w:rsidRDefault="003B69E5" w:rsidP="00D1712E">
      <w:pPr>
        <w:pStyle w:val="Pargrafdellista"/>
        <w:spacing w:after="0" w:line="240" w:lineRule="auto"/>
      </w:pPr>
      <w:r w:rsidRPr="00FA647E">
        <w:rPr>
          <w:noProof/>
          <w:lang w:val="es-ES"/>
        </w:rPr>
        <w:drawing>
          <wp:inline distT="0" distB="0" distL="0" distR="0">
            <wp:extent cx="5396230" cy="2697480"/>
            <wp:effectExtent l="0" t="0" r="13970" b="2667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712E" w:rsidRPr="00CF71D8" w:rsidRDefault="00D1712E" w:rsidP="00D1712E">
      <w:pPr>
        <w:pStyle w:val="Pargrafdellista"/>
        <w:spacing w:before="60" w:after="240" w:line="240" w:lineRule="auto"/>
        <w:rPr>
          <w:sz w:val="18"/>
        </w:rPr>
      </w:pPr>
      <w:r w:rsidRPr="00CF71D8">
        <w:rPr>
          <w:i/>
          <w:sz w:val="18"/>
        </w:rPr>
        <w:t>Fuente</w:t>
      </w:r>
      <w:r w:rsidRPr="00CF71D8">
        <w:rPr>
          <w:sz w:val="18"/>
        </w:rPr>
        <w:t>: Elaboración propia a partir de Encuesta de Presupuesto Familiares (INE)</w:t>
      </w:r>
    </w:p>
    <w:p w:rsidR="00EE3716" w:rsidRPr="00C13B31" w:rsidRDefault="00EE3716" w:rsidP="00EE3716">
      <w:pPr>
        <w:rPr>
          <w:rFonts w:ascii="Arial" w:hAnsi="Arial" w:cs="Arial"/>
          <w:b/>
          <w:sz w:val="20"/>
          <w:szCs w:val="20"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EE3716" w:rsidRPr="00737CEB" w:rsidRDefault="00EE3716" w:rsidP="00EE3716">
      <w:pPr>
        <w:pStyle w:val="Ttol1"/>
        <w:spacing w:before="0"/>
        <w:rPr>
          <w:rFonts w:cs="Arial"/>
          <w:sz w:val="28"/>
          <w:szCs w:val="28"/>
        </w:rPr>
      </w:pPr>
      <w:r w:rsidRPr="00737CEB">
        <w:rPr>
          <w:rFonts w:cs="Arial"/>
          <w:sz w:val="28"/>
          <w:szCs w:val="28"/>
        </w:rPr>
        <w:lastRenderedPageBreak/>
        <w:t xml:space="preserve">IDEA 7 </w:t>
      </w:r>
    </w:p>
    <w:p w:rsidR="003B69E5" w:rsidRPr="00D1712E" w:rsidRDefault="003B69E5" w:rsidP="003B69E5">
      <w:pPr>
        <w:pStyle w:val="Pargrafdellista"/>
        <w:rPr>
          <w:rFonts w:cs="Arial"/>
        </w:rPr>
      </w:pPr>
      <w:r>
        <w:rPr>
          <w:rFonts w:cs="Arial"/>
          <w:b/>
        </w:rPr>
        <w:t>1</w:t>
      </w:r>
      <w:r w:rsidRPr="00D1712E">
        <w:rPr>
          <w:rFonts w:cs="Arial"/>
          <w:b/>
        </w:rPr>
        <w:t xml:space="preserve"> de cada </w:t>
      </w:r>
      <w:r>
        <w:rPr>
          <w:rFonts w:cs="Arial"/>
          <w:b/>
        </w:rPr>
        <w:t>4</w:t>
      </w:r>
      <w:r w:rsidRPr="00D1712E">
        <w:rPr>
          <w:rFonts w:cs="Arial"/>
          <w:b/>
        </w:rPr>
        <w:t xml:space="preserve"> personas en </w:t>
      </w:r>
      <w:r>
        <w:rPr>
          <w:rFonts w:cs="Arial"/>
          <w:b/>
        </w:rPr>
        <w:t>Baleares</w:t>
      </w:r>
      <w:r w:rsidRPr="00D1712E">
        <w:rPr>
          <w:rFonts w:cs="Arial"/>
          <w:b/>
        </w:rPr>
        <w:t xml:space="preserve"> está afectada por factores de exclusión residencial (accesibilidad, adecuación, habitabilidad y estabilidad de la vivienda).</w:t>
      </w:r>
    </w:p>
    <w:p w:rsidR="003B69E5" w:rsidRPr="00D1712E" w:rsidRDefault="003B69E5" w:rsidP="003B69E5">
      <w:pPr>
        <w:pStyle w:val="Pargrafdellista"/>
        <w:rPr>
          <w:rFonts w:cs="Arial"/>
        </w:rPr>
      </w:pPr>
      <w:r w:rsidRPr="00D1712E">
        <w:rPr>
          <w:rFonts w:cs="Arial"/>
        </w:rPr>
        <w:t xml:space="preserve">A pesar de que la tendencia general ha sido de reducción del gasto en casi todos los grupos de gasto destaca el aumento en vivienda, con un incremento del </w:t>
      </w:r>
      <w:r>
        <w:rPr>
          <w:rFonts w:cs="Arial"/>
        </w:rPr>
        <w:t>19</w:t>
      </w:r>
      <w:r w:rsidRPr="00D1712E">
        <w:rPr>
          <w:rFonts w:cs="Arial"/>
        </w:rPr>
        <w:t xml:space="preserve">%.  </w:t>
      </w:r>
    </w:p>
    <w:p w:rsidR="003B69E5" w:rsidRDefault="003B69E5" w:rsidP="003B69E5">
      <w:pPr>
        <w:pStyle w:val="Pargrafdellista"/>
      </w:pPr>
      <w:r w:rsidRPr="00C131B2">
        <w:t xml:space="preserve">La relación con la actividad laboral y más concretamente el desempleo de larga duración, así como la edad </w:t>
      </w:r>
      <w:r>
        <w:t xml:space="preserve">joven </w:t>
      </w:r>
      <w:r w:rsidRPr="00C131B2">
        <w:t>de los sustentadores principales son las características más determinantes en la afectación de los indicadores de vivienda.</w:t>
      </w:r>
    </w:p>
    <w:p w:rsidR="003B69E5" w:rsidRDefault="00E3458A" w:rsidP="003B69E5">
      <w:pPr>
        <w:pStyle w:val="Pargrafdellista"/>
      </w:pPr>
      <w:r>
        <w:t>El 17% de los hogares de las Islas Baleares se enfrentan a gastos excesivos en la vivienda, una situación que supera el 11% de España y que provoca que al descontar los gastos en vivienda de los ingresos del hogar, la familia quede en situación de pobreza severa.</w:t>
      </w:r>
    </w:p>
    <w:p w:rsidR="003B69E5" w:rsidRDefault="003B69E5" w:rsidP="003B69E5">
      <w:pPr>
        <w:spacing w:after="180" w:line="300" w:lineRule="auto"/>
        <w:jc w:val="both"/>
        <w:rPr>
          <w:rFonts w:ascii="Arial" w:hAnsi="Arial" w:cs="Arial"/>
          <w:sz w:val="20"/>
        </w:rPr>
      </w:pPr>
      <w:r w:rsidRPr="00D1712E">
        <w:rPr>
          <w:rFonts w:ascii="Arial" w:hAnsi="Arial" w:cs="Arial"/>
          <w:sz w:val="20"/>
        </w:rPr>
        <w:t xml:space="preserve">Una parte importante de los hogares ha tenido que ejecutar medidas compensadoras para afrontar problemas de la vivienda, derivados de las dificultades económicas. </w:t>
      </w:r>
      <w:r w:rsidR="00C708FC">
        <w:rPr>
          <w:rFonts w:ascii="Arial" w:hAnsi="Arial" w:cs="Arial"/>
          <w:sz w:val="20"/>
        </w:rPr>
        <w:t xml:space="preserve">Muchos hogares </w:t>
      </w:r>
      <w:r w:rsidR="00C708FC" w:rsidRPr="00C708FC">
        <w:rPr>
          <w:rFonts w:ascii="Arial" w:hAnsi="Arial" w:cs="Arial"/>
          <w:sz w:val="20"/>
        </w:rPr>
        <w:t xml:space="preserve">indican no poder afrontar los adeudos relacionados con la vivienda y por tanto se encuentran ante el riesgo de no poder disponer de esos servicios. </w:t>
      </w:r>
      <w:r w:rsidR="00C708FC">
        <w:rPr>
          <w:rFonts w:ascii="Arial" w:hAnsi="Arial" w:cs="Arial"/>
          <w:sz w:val="20"/>
        </w:rPr>
        <w:t>Otros</w:t>
      </w:r>
      <w:r w:rsidR="00C708FC" w:rsidRPr="00C708FC">
        <w:rPr>
          <w:rFonts w:ascii="Arial" w:hAnsi="Arial" w:cs="Arial"/>
          <w:sz w:val="20"/>
        </w:rPr>
        <w:t xml:space="preserve"> hogares se han visto obligados a reducir los gastos fijos de la casa, y los gastos de teléfono, televisión e internet.</w:t>
      </w:r>
    </w:p>
    <w:p w:rsidR="00C708FC" w:rsidRDefault="00C708FC" w:rsidP="003B69E5">
      <w:pPr>
        <w:spacing w:after="180" w:line="300" w:lineRule="auto"/>
        <w:jc w:val="both"/>
        <w:rPr>
          <w:rFonts w:ascii="Arial" w:hAnsi="Arial" w:cs="Arial"/>
          <w:sz w:val="20"/>
        </w:rPr>
      </w:pPr>
    </w:p>
    <w:p w:rsidR="003B69E5" w:rsidRPr="00CF71D8" w:rsidRDefault="003B69E5" w:rsidP="003B69E5">
      <w:pPr>
        <w:pStyle w:val="Pargrafdellista"/>
        <w:spacing w:after="120" w:line="240" w:lineRule="auto"/>
        <w:rPr>
          <w:b/>
        </w:rPr>
      </w:pPr>
      <w:r w:rsidRPr="00CF71D8">
        <w:rPr>
          <w:b/>
        </w:rPr>
        <w:t xml:space="preserve">Tasas de variación respecto del año base (2006) del gasto medio por hogar por grupo de gasto. </w:t>
      </w:r>
      <w:r>
        <w:rPr>
          <w:b/>
        </w:rPr>
        <w:t>Islas Baleares</w:t>
      </w:r>
      <w:r w:rsidRPr="00CF71D8">
        <w:rPr>
          <w:b/>
        </w:rPr>
        <w:t xml:space="preserve"> y España. Año 2013</w:t>
      </w:r>
      <w:r>
        <w:rPr>
          <w:rStyle w:val="Refernciadenotaapeudepgina"/>
          <w:b/>
        </w:rPr>
        <w:footnoteReference w:id="4"/>
      </w:r>
    </w:p>
    <w:p w:rsidR="003B69E5" w:rsidRDefault="003B69E5" w:rsidP="003B69E5">
      <w:pPr>
        <w:pStyle w:val="Pargrafdellista"/>
        <w:spacing w:after="0" w:line="240" w:lineRule="auto"/>
      </w:pPr>
      <w:r>
        <w:rPr>
          <w:noProof/>
          <w:lang w:val="es-ES"/>
        </w:rPr>
        <w:drawing>
          <wp:inline distT="0" distB="0" distL="0" distR="0">
            <wp:extent cx="5396230" cy="2817080"/>
            <wp:effectExtent l="0" t="0" r="13970" b="2159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69E5" w:rsidRPr="00CF71D8" w:rsidRDefault="003B69E5" w:rsidP="003B69E5">
      <w:pPr>
        <w:pStyle w:val="Pargrafdellista"/>
        <w:spacing w:before="60" w:after="240" w:line="240" w:lineRule="auto"/>
        <w:rPr>
          <w:sz w:val="18"/>
        </w:rPr>
      </w:pPr>
      <w:r w:rsidRPr="00CF71D8">
        <w:rPr>
          <w:i/>
          <w:sz w:val="18"/>
        </w:rPr>
        <w:t>Fuente</w:t>
      </w:r>
      <w:r w:rsidRPr="00CF71D8">
        <w:rPr>
          <w:sz w:val="18"/>
        </w:rPr>
        <w:t>: Elaboración propia a partir de Encuesta de Presupuesto Familiares (INE)</w:t>
      </w:r>
    </w:p>
    <w:p w:rsidR="003B69E5" w:rsidRPr="00C13B31" w:rsidRDefault="003B69E5" w:rsidP="003B69E5">
      <w:pPr>
        <w:rPr>
          <w:rFonts w:ascii="Arial" w:hAnsi="Arial" w:cs="Arial"/>
          <w:b/>
          <w:sz w:val="20"/>
          <w:szCs w:val="20"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3B69E5" w:rsidRPr="00D1712E" w:rsidRDefault="003B69E5" w:rsidP="003B69E5">
      <w:pPr>
        <w:pStyle w:val="Pargrafdellista"/>
        <w:spacing w:before="240" w:after="120" w:line="240" w:lineRule="auto"/>
        <w:rPr>
          <w:rFonts w:cs="Arial"/>
          <w:b/>
        </w:rPr>
      </w:pPr>
      <w:r w:rsidRPr="00D1712E">
        <w:rPr>
          <w:rFonts w:cs="Arial"/>
          <w:b/>
        </w:rPr>
        <w:lastRenderedPageBreak/>
        <w:t>Porcentaje de hogares que por dificultades económicas, se han visto afectados por problemas en la vivienda</w:t>
      </w:r>
    </w:p>
    <w:p w:rsidR="003B69E5" w:rsidRPr="00C13B31" w:rsidRDefault="00C708FC" w:rsidP="003B69E5">
      <w:pPr>
        <w:jc w:val="both"/>
        <w:rPr>
          <w:rFonts w:ascii="Arial" w:hAnsi="Arial" w:cs="Arial"/>
          <w:b/>
          <w:highlight w:val="yellow"/>
        </w:rPr>
      </w:pPr>
      <w:r>
        <w:rPr>
          <w:noProof/>
          <w:lang w:val="es-ES"/>
        </w:rPr>
        <w:drawing>
          <wp:inline distT="0" distB="0" distL="0" distR="0">
            <wp:extent cx="5396230" cy="2949744"/>
            <wp:effectExtent l="0" t="0" r="13970" b="222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69E5" w:rsidRPr="00D1712E" w:rsidRDefault="003B69E5" w:rsidP="003B69E5">
      <w:pPr>
        <w:pStyle w:val="Pargrafdellista"/>
        <w:spacing w:before="60" w:after="240" w:line="240" w:lineRule="auto"/>
        <w:rPr>
          <w:rFonts w:cs="Arial"/>
          <w:sz w:val="18"/>
        </w:rPr>
      </w:pPr>
      <w:r w:rsidRPr="00D1712E">
        <w:rPr>
          <w:rFonts w:cs="Arial"/>
          <w:i/>
          <w:sz w:val="18"/>
        </w:rPr>
        <w:t>Fuente</w:t>
      </w:r>
      <w:r w:rsidRPr="00D1712E">
        <w:rPr>
          <w:rFonts w:cs="Arial"/>
          <w:sz w:val="18"/>
        </w:rPr>
        <w:t>: EINSFOESSA 2013</w:t>
      </w:r>
    </w:p>
    <w:p w:rsidR="00EE3716" w:rsidRPr="004F1895" w:rsidRDefault="00EE3716" w:rsidP="00EE3716">
      <w:pPr>
        <w:pStyle w:val="Pargrafdellista"/>
        <w:spacing w:before="60" w:after="240" w:line="240" w:lineRule="auto"/>
        <w:rPr>
          <w:rFonts w:cs="Arial"/>
          <w:sz w:val="18"/>
        </w:rPr>
      </w:pPr>
    </w:p>
    <w:p w:rsidR="005917A6" w:rsidRDefault="005917A6" w:rsidP="00EE3716">
      <w:pPr>
        <w:rPr>
          <w:rFonts w:ascii="Arial" w:hAnsi="Arial" w:cs="Arial"/>
          <w:b/>
          <w:highlight w:val="yellow"/>
        </w:rPr>
      </w:pPr>
    </w:p>
    <w:p w:rsidR="00EE3716" w:rsidRPr="00C13B31" w:rsidRDefault="00EE3716" w:rsidP="00EE3716">
      <w:pPr>
        <w:rPr>
          <w:rFonts w:ascii="Arial" w:hAnsi="Arial" w:cs="Arial"/>
          <w:b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EE3716" w:rsidRPr="00D66626" w:rsidRDefault="00EE3716" w:rsidP="00EE3716">
      <w:pPr>
        <w:pStyle w:val="Ttol1"/>
        <w:spacing w:before="0"/>
        <w:rPr>
          <w:rFonts w:cs="Arial"/>
          <w:sz w:val="28"/>
          <w:szCs w:val="28"/>
        </w:rPr>
      </w:pPr>
      <w:r w:rsidRPr="00D66626">
        <w:rPr>
          <w:rFonts w:cs="Arial"/>
          <w:sz w:val="28"/>
          <w:szCs w:val="28"/>
        </w:rPr>
        <w:lastRenderedPageBreak/>
        <w:t>IDEA 8</w:t>
      </w:r>
    </w:p>
    <w:p w:rsidR="00783025" w:rsidRPr="00955EEB" w:rsidRDefault="00783025" w:rsidP="00783025">
      <w:pPr>
        <w:pStyle w:val="Pargrafdellista"/>
        <w:rPr>
          <w:b/>
        </w:rPr>
      </w:pPr>
      <w:r w:rsidRPr="00955EEB">
        <w:rPr>
          <w:b/>
        </w:rPr>
        <w:t xml:space="preserve">Solo </w:t>
      </w:r>
      <w:r>
        <w:rPr>
          <w:b/>
        </w:rPr>
        <w:t>5</w:t>
      </w:r>
      <w:r w:rsidRPr="00955EEB">
        <w:rPr>
          <w:b/>
        </w:rPr>
        <w:t xml:space="preserve"> de cada 10 hogares cuentan con ayuda </w:t>
      </w:r>
      <w:r>
        <w:rPr>
          <w:b/>
        </w:rPr>
        <w:t xml:space="preserve">de su red social próxima </w:t>
      </w:r>
      <w:r w:rsidRPr="00955EEB">
        <w:rPr>
          <w:b/>
        </w:rPr>
        <w:t>en momentos de necesidad</w:t>
      </w:r>
    </w:p>
    <w:p w:rsidR="00412777" w:rsidRPr="00FB3BB7" w:rsidRDefault="00412777" w:rsidP="00412777">
      <w:pPr>
        <w:pStyle w:val="Pargrafdellista"/>
        <w:rPr>
          <w:lang w:val="es-ES"/>
        </w:rPr>
      </w:pPr>
      <w:r w:rsidRPr="00FB3BB7">
        <w:t xml:space="preserve">Es de destacar la escasa densidad relacional de </w:t>
      </w:r>
      <w:r>
        <w:t>los hogares en Baleares, en contraste con la mayor densidad, intensidad y pluralidad de la red social en España.</w:t>
      </w:r>
    </w:p>
    <w:p w:rsidR="00412777" w:rsidRDefault="001A0803" w:rsidP="00412777">
      <w:pPr>
        <w:pStyle w:val="Pargrafdellista"/>
      </w:pPr>
      <w:r>
        <w:t>El 54% de los hogares</w:t>
      </w:r>
      <w:r w:rsidR="00412777">
        <w:t xml:space="preserve">no </w:t>
      </w:r>
      <w:r w:rsidR="00412777" w:rsidRPr="00FB3BB7">
        <w:t xml:space="preserve">cuentan con ayuda en momentos de necesidad. Este </w:t>
      </w:r>
      <w:r w:rsidR="00412777">
        <w:t>alto</w:t>
      </w:r>
      <w:r w:rsidR="00412777" w:rsidRPr="00FB3BB7">
        <w:t xml:space="preserve"> porcentaje evidencia que la cobertura y solidaridad de la red de apoyo personal y familiar (red </w:t>
      </w:r>
      <w:r w:rsidR="00412777" w:rsidRPr="00412777">
        <w:t>informal) es poco activa. En términos de población es de destacar que más de 5 de cada 10 personas dicen no dispone de ayuda en caso de necesidad (más de 585.000 personas</w:t>
      </w:r>
      <w:r w:rsidR="00412777" w:rsidRPr="005C4D1E">
        <w:rPr>
          <w:b/>
        </w:rPr>
        <w:t>)</w:t>
      </w:r>
    </w:p>
    <w:p w:rsidR="00412777" w:rsidRDefault="00412777" w:rsidP="00412777">
      <w:pPr>
        <w:pStyle w:val="Pargrafdellista"/>
      </w:pPr>
      <w:r>
        <w:t xml:space="preserve">Se percibe una fuerte disminución </w:t>
      </w:r>
      <w:r w:rsidRPr="00CB3173">
        <w:t>de esta capacidad de recibir ayuda, ya que el</w:t>
      </w:r>
      <w:r>
        <w:t>70</w:t>
      </w:r>
      <w:r w:rsidRPr="00CB3173">
        <w:t>% indican haber tenido ayuda con anterioridad</w:t>
      </w:r>
      <w:r>
        <w:t>, frente al 46% que la tienen en la actualidad. Una reducción especialmente intensa entre los hogares más vulnerables.</w:t>
      </w:r>
    </w:p>
    <w:p w:rsidR="00EE3716" w:rsidRPr="00E7409D" w:rsidRDefault="00EE3716" w:rsidP="00EE3716">
      <w:pPr>
        <w:spacing w:after="180" w:line="300" w:lineRule="auto"/>
        <w:jc w:val="both"/>
        <w:rPr>
          <w:rFonts w:ascii="Arial" w:hAnsi="Arial" w:cs="Arial"/>
          <w:sz w:val="20"/>
        </w:rPr>
      </w:pPr>
      <w:r w:rsidRPr="001A0803">
        <w:rPr>
          <w:rFonts w:ascii="Arial" w:hAnsi="Arial" w:cs="Arial"/>
          <w:sz w:val="20"/>
        </w:rPr>
        <w:t>Los hogares más vulnerables utilizan preferentemente los ser</w:t>
      </w:r>
      <w:r w:rsidR="0031632F" w:rsidRPr="001A0803">
        <w:rPr>
          <w:rFonts w:ascii="Arial" w:hAnsi="Arial" w:cs="Arial"/>
          <w:sz w:val="20"/>
        </w:rPr>
        <w:t xml:space="preserve">vicios </w:t>
      </w:r>
      <w:r w:rsidR="001A0803" w:rsidRPr="001A0803">
        <w:rPr>
          <w:rFonts w:ascii="Arial" w:hAnsi="Arial" w:cs="Arial"/>
          <w:sz w:val="20"/>
        </w:rPr>
        <w:t>social público local (14%), seguido</w:t>
      </w:r>
      <w:r w:rsidR="00E7409D" w:rsidRPr="001A0803">
        <w:rPr>
          <w:rFonts w:ascii="Arial" w:hAnsi="Arial" w:cs="Arial"/>
          <w:sz w:val="20"/>
        </w:rPr>
        <w:t xml:space="preserve"> de cerca por los servicios prestados por Cáritas (</w:t>
      </w:r>
      <w:r w:rsidR="001A0803" w:rsidRPr="001A0803">
        <w:rPr>
          <w:rFonts w:ascii="Arial" w:hAnsi="Arial" w:cs="Arial"/>
          <w:sz w:val="20"/>
        </w:rPr>
        <w:t>11</w:t>
      </w:r>
      <w:r w:rsidR="00E7409D" w:rsidRPr="001A0803">
        <w:rPr>
          <w:rFonts w:ascii="Arial" w:hAnsi="Arial" w:cs="Arial"/>
          <w:sz w:val="20"/>
        </w:rPr>
        <w:t xml:space="preserve">%)y </w:t>
      </w:r>
      <w:r w:rsidRPr="001A0803">
        <w:rPr>
          <w:rFonts w:ascii="Arial" w:hAnsi="Arial" w:cs="Arial"/>
          <w:sz w:val="20"/>
        </w:rPr>
        <w:t>en menor medida los servicios</w:t>
      </w:r>
      <w:r w:rsidR="001A0803" w:rsidRPr="001A0803">
        <w:rPr>
          <w:rFonts w:ascii="Arial" w:hAnsi="Arial" w:cs="Arial"/>
          <w:sz w:val="20"/>
        </w:rPr>
        <w:t>ofrecidos por otras entidades (</w:t>
      </w:r>
      <w:r w:rsidR="00E7409D" w:rsidRPr="001A0803">
        <w:rPr>
          <w:rFonts w:ascii="Arial" w:hAnsi="Arial" w:cs="Arial"/>
          <w:sz w:val="20"/>
        </w:rPr>
        <w:t>8</w:t>
      </w:r>
      <w:r w:rsidRPr="001A0803">
        <w:rPr>
          <w:rFonts w:ascii="Arial" w:hAnsi="Arial" w:cs="Arial"/>
          <w:sz w:val="20"/>
        </w:rPr>
        <w:t>%).</w:t>
      </w:r>
    </w:p>
    <w:p w:rsidR="00EE3716" w:rsidRPr="004F1895" w:rsidRDefault="00EE3716" w:rsidP="00EE3716">
      <w:pPr>
        <w:pStyle w:val="Pargrafdellista"/>
        <w:spacing w:before="240" w:after="120" w:line="240" w:lineRule="auto"/>
        <w:rPr>
          <w:rFonts w:cs="Arial"/>
          <w:b/>
        </w:rPr>
      </w:pPr>
      <w:r w:rsidRPr="004F1895">
        <w:rPr>
          <w:rFonts w:cs="Arial"/>
          <w:b/>
        </w:rPr>
        <w:t xml:space="preserve">Porcentaje de hogares que manifiestan tener o haber tenido ayuda de alguna persona en caso de necesidad en </w:t>
      </w:r>
      <w:r w:rsidR="00E47973">
        <w:rPr>
          <w:rFonts w:cs="Arial"/>
          <w:b/>
        </w:rPr>
        <w:t>Baleares</w:t>
      </w:r>
      <w:r w:rsidR="00DD0216" w:rsidRPr="004F1895">
        <w:rPr>
          <w:rFonts w:cs="Arial"/>
          <w:b/>
        </w:rPr>
        <w:t xml:space="preserve"> y España</w:t>
      </w:r>
    </w:p>
    <w:p w:rsidR="00EE3716" w:rsidRPr="004F1895" w:rsidRDefault="00E47973" w:rsidP="00EE3716">
      <w:pPr>
        <w:pStyle w:val="Pargrafdellista"/>
        <w:spacing w:after="120" w:line="240" w:lineRule="auto"/>
        <w:rPr>
          <w:rFonts w:cs="Arial"/>
        </w:rPr>
      </w:pPr>
      <w:r>
        <w:rPr>
          <w:noProof/>
          <w:lang w:val="es-ES"/>
        </w:rPr>
        <w:drawing>
          <wp:inline distT="0" distB="0" distL="0" distR="0">
            <wp:extent cx="5400000" cy="2880000"/>
            <wp:effectExtent l="0" t="0" r="10795" b="1587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3716" w:rsidRPr="004F1895" w:rsidRDefault="00EE3716" w:rsidP="00EE3716">
      <w:pPr>
        <w:pStyle w:val="Pargrafdellista"/>
        <w:spacing w:before="60" w:after="240" w:line="240" w:lineRule="auto"/>
        <w:rPr>
          <w:rFonts w:cs="Arial"/>
          <w:sz w:val="18"/>
        </w:rPr>
      </w:pPr>
      <w:r w:rsidRPr="004F1895">
        <w:rPr>
          <w:rFonts w:cs="Arial"/>
          <w:i/>
          <w:sz w:val="18"/>
        </w:rPr>
        <w:t>Fuente</w:t>
      </w:r>
      <w:r w:rsidRPr="004F1895">
        <w:rPr>
          <w:rFonts w:cs="Arial"/>
          <w:sz w:val="18"/>
        </w:rPr>
        <w:t>: EINSFOESSA 2013</w:t>
      </w:r>
    </w:p>
    <w:p w:rsidR="00EE3716" w:rsidRPr="00C13B31" w:rsidRDefault="00EE3716" w:rsidP="00EE3716">
      <w:pPr>
        <w:rPr>
          <w:rFonts w:ascii="Arial" w:hAnsi="Arial" w:cs="Arial"/>
          <w:b/>
          <w:sz w:val="20"/>
          <w:szCs w:val="20"/>
          <w:highlight w:val="yellow"/>
        </w:rPr>
      </w:pPr>
      <w:r w:rsidRPr="00C13B31">
        <w:rPr>
          <w:rFonts w:cs="Arial"/>
          <w:b/>
          <w:highlight w:val="yellow"/>
        </w:rPr>
        <w:br w:type="page"/>
      </w:r>
    </w:p>
    <w:p w:rsidR="00EE3716" w:rsidRPr="004F1895" w:rsidRDefault="00EE3716" w:rsidP="00EE3716">
      <w:pPr>
        <w:pStyle w:val="Pargrafdellista"/>
        <w:spacing w:after="120" w:line="240" w:lineRule="auto"/>
        <w:rPr>
          <w:rFonts w:cs="Arial"/>
          <w:b/>
        </w:rPr>
      </w:pPr>
      <w:r w:rsidRPr="004F1895">
        <w:rPr>
          <w:rFonts w:cs="Arial"/>
          <w:b/>
        </w:rPr>
        <w:lastRenderedPageBreak/>
        <w:t xml:space="preserve">Porcentaje de hogares excluidos que han acudido a diferentes servicios en busca de ayuda en </w:t>
      </w:r>
      <w:r w:rsidR="00E47973">
        <w:rPr>
          <w:rFonts w:cs="Arial"/>
          <w:b/>
        </w:rPr>
        <w:t>Baleares</w:t>
      </w:r>
      <w:r w:rsidRPr="004F1895">
        <w:rPr>
          <w:rFonts w:cs="Arial"/>
          <w:b/>
        </w:rPr>
        <w:t xml:space="preserve"> y España en 2013</w:t>
      </w:r>
    </w:p>
    <w:p w:rsidR="00EE3716" w:rsidRPr="004F1895" w:rsidRDefault="00E47973" w:rsidP="00EE3716">
      <w:pPr>
        <w:rPr>
          <w:rFonts w:ascii="Arial" w:hAnsi="Arial" w:cs="Arial"/>
          <w:b/>
        </w:rPr>
      </w:pPr>
      <w:r>
        <w:rPr>
          <w:noProof/>
          <w:lang w:val="es-ES"/>
        </w:rPr>
        <w:drawing>
          <wp:inline distT="0" distB="0" distL="0" distR="0">
            <wp:extent cx="4572000" cy="2802731"/>
            <wp:effectExtent l="0" t="0" r="19050" b="17145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3716" w:rsidRPr="004F1895" w:rsidRDefault="00EE3716" w:rsidP="00EE3716">
      <w:pPr>
        <w:pStyle w:val="Pargrafdellista"/>
        <w:spacing w:before="60" w:after="240" w:line="240" w:lineRule="auto"/>
        <w:rPr>
          <w:rFonts w:cs="Arial"/>
          <w:sz w:val="18"/>
        </w:rPr>
      </w:pPr>
      <w:r w:rsidRPr="004F1895">
        <w:rPr>
          <w:rFonts w:cs="Arial"/>
          <w:i/>
          <w:sz w:val="18"/>
        </w:rPr>
        <w:t>Fuente</w:t>
      </w:r>
      <w:r w:rsidRPr="004F1895">
        <w:rPr>
          <w:rFonts w:cs="Arial"/>
          <w:sz w:val="18"/>
        </w:rPr>
        <w:t>: EINSFOESSA 2013</w:t>
      </w:r>
    </w:p>
    <w:p w:rsidR="00EE3716" w:rsidRPr="00C13B31" w:rsidRDefault="00EE3716" w:rsidP="00EE3716">
      <w:pPr>
        <w:rPr>
          <w:rFonts w:ascii="Arial" w:hAnsi="Arial" w:cs="Arial"/>
          <w:b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EE3716" w:rsidRPr="00E7409D" w:rsidRDefault="00EE3716" w:rsidP="00EE3716">
      <w:pPr>
        <w:pStyle w:val="Ttol1"/>
        <w:spacing w:before="0"/>
        <w:rPr>
          <w:rFonts w:cs="Arial"/>
          <w:sz w:val="28"/>
          <w:szCs w:val="28"/>
        </w:rPr>
      </w:pPr>
      <w:r w:rsidRPr="00E7409D">
        <w:rPr>
          <w:rFonts w:cs="Arial"/>
          <w:sz w:val="28"/>
          <w:szCs w:val="28"/>
        </w:rPr>
        <w:lastRenderedPageBreak/>
        <w:t xml:space="preserve">IDEA 9 </w:t>
      </w:r>
    </w:p>
    <w:p w:rsidR="00EE3716" w:rsidRPr="00E7409D" w:rsidRDefault="00EE3716" w:rsidP="00EE3716">
      <w:pPr>
        <w:spacing w:after="180" w:line="300" w:lineRule="auto"/>
        <w:jc w:val="both"/>
        <w:rPr>
          <w:rFonts w:ascii="Arial" w:hAnsi="Arial" w:cs="Arial"/>
          <w:b/>
          <w:sz w:val="20"/>
        </w:rPr>
      </w:pPr>
      <w:r w:rsidRPr="00E7409D">
        <w:rPr>
          <w:rFonts w:ascii="Arial" w:hAnsi="Arial" w:cs="Arial"/>
          <w:b/>
          <w:sz w:val="20"/>
        </w:rPr>
        <w:t>La exclusión social afecta mayoritariamente a</w:t>
      </w:r>
      <w:r w:rsidR="001A0803">
        <w:rPr>
          <w:rFonts w:ascii="Arial" w:hAnsi="Arial" w:cs="Arial"/>
          <w:b/>
          <w:sz w:val="20"/>
        </w:rPr>
        <w:t xml:space="preserve"> hogares españoles o UE15, a</w:t>
      </w:r>
      <w:r w:rsidRPr="00E7409D">
        <w:rPr>
          <w:rFonts w:ascii="Arial" w:hAnsi="Arial" w:cs="Arial"/>
          <w:b/>
          <w:sz w:val="20"/>
        </w:rPr>
        <w:t xml:space="preserve"> las familias </w:t>
      </w:r>
      <w:r w:rsidR="00E7409D" w:rsidRPr="00E7409D">
        <w:rPr>
          <w:rFonts w:ascii="Arial" w:hAnsi="Arial" w:cs="Arial"/>
          <w:b/>
          <w:sz w:val="20"/>
        </w:rPr>
        <w:t xml:space="preserve">pobres, con baja intensidad en el empleo y </w:t>
      </w:r>
      <w:r w:rsidR="001A0803">
        <w:rPr>
          <w:rFonts w:ascii="Arial" w:hAnsi="Arial" w:cs="Arial"/>
          <w:b/>
          <w:sz w:val="20"/>
        </w:rPr>
        <w:t xml:space="preserve">a hogares unipersonales y </w:t>
      </w:r>
      <w:r w:rsidR="00E7409D" w:rsidRPr="00E7409D">
        <w:rPr>
          <w:rFonts w:ascii="Arial" w:hAnsi="Arial" w:cs="Arial"/>
          <w:b/>
          <w:sz w:val="20"/>
        </w:rPr>
        <w:t xml:space="preserve">familias </w:t>
      </w:r>
      <w:r w:rsidRPr="00E7409D">
        <w:rPr>
          <w:rFonts w:ascii="Arial" w:hAnsi="Arial" w:cs="Arial"/>
          <w:b/>
          <w:sz w:val="20"/>
        </w:rPr>
        <w:t xml:space="preserve">con </w:t>
      </w:r>
      <w:r w:rsidR="001A0803">
        <w:rPr>
          <w:rFonts w:ascii="Arial" w:hAnsi="Arial" w:cs="Arial"/>
          <w:b/>
          <w:sz w:val="20"/>
        </w:rPr>
        <w:t>hijos</w:t>
      </w:r>
      <w:r w:rsidRPr="00E7409D">
        <w:rPr>
          <w:rFonts w:ascii="Arial" w:hAnsi="Arial" w:cs="Arial"/>
          <w:b/>
          <w:sz w:val="20"/>
        </w:rPr>
        <w:t>.</w:t>
      </w:r>
    </w:p>
    <w:p w:rsidR="001A0803" w:rsidRPr="00EC4E8F" w:rsidRDefault="001A0803" w:rsidP="001A0803">
      <w:pPr>
        <w:pStyle w:val="Pargrafdellista"/>
        <w:spacing w:before="240" w:after="120"/>
        <w:rPr>
          <w:b/>
        </w:rPr>
      </w:pPr>
      <w:r w:rsidRPr="008D37BC">
        <w:rPr>
          <w:b/>
        </w:rPr>
        <w:t>Perfil medio de Hogar en exclusión social en Baleares</w:t>
      </w:r>
    </w:p>
    <w:p w:rsidR="001A0803" w:rsidRPr="009A1A11" w:rsidRDefault="00CC1049" w:rsidP="001A0803">
      <w:pPr>
        <w:autoSpaceDE w:val="0"/>
        <w:autoSpaceDN w:val="0"/>
        <w:adjustRightInd w:val="0"/>
        <w:rPr>
          <w:rFonts w:ascii="Arial" w:hAnsi="Arial" w:cs="Arial"/>
          <w:sz w:val="20"/>
          <w:lang w:val="es-ES"/>
        </w:rPr>
      </w:pPr>
      <w:r w:rsidRPr="00CC1049">
        <w:rPr>
          <w:noProof/>
          <w:lang w:val="es-ES"/>
        </w:rPr>
        <w:pict>
          <v:shape id="Cuadro de texto 3" o:spid="_x0000_s1030" type="#_x0000_t202" style="position:absolute;margin-left:227.7pt;margin-top:9.25pt;width:216.75pt;height:116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" filled="f" stroked="f">
            <v:textbox>
              <w:txbxContent>
                <w:p w:rsidR="001A0803" w:rsidRPr="009A1A11" w:rsidRDefault="001A0803" w:rsidP="001A0803">
                  <w:pPr>
                    <w:spacing w:line="312" w:lineRule="auto"/>
                    <w:rPr>
                      <w:rFonts w:ascii="Arial" w:hAnsi="Arial" w:cs="Arial"/>
                      <w:sz w:val="18"/>
                    </w:rPr>
                  </w:pPr>
                  <w:r w:rsidRPr="00C20DBB">
                    <w:rPr>
                      <w:rFonts w:ascii="Arial" w:hAnsi="Arial" w:cs="Arial"/>
                      <w:sz w:val="18"/>
                    </w:rPr>
                    <w:t>Hogar español o UE15 (78%)</w:t>
                  </w:r>
                </w:p>
                <w:p w:rsidR="001A0803" w:rsidRDefault="001A0803" w:rsidP="001A0803">
                  <w:pPr>
                    <w:spacing w:line="312" w:lineRule="auto"/>
                    <w:rPr>
                      <w:rFonts w:ascii="Arial" w:hAnsi="Arial" w:cs="Arial"/>
                      <w:sz w:val="18"/>
                    </w:rPr>
                  </w:pPr>
                  <w:r w:rsidRPr="009A1A11">
                    <w:rPr>
                      <w:rFonts w:ascii="Arial" w:hAnsi="Arial" w:cs="Arial"/>
                      <w:sz w:val="18"/>
                    </w:rPr>
                    <w:t>Pobres (51%). Un 24% en pobreza severa</w:t>
                  </w:r>
                </w:p>
                <w:p w:rsidR="001A0803" w:rsidRDefault="001A0803" w:rsidP="001A0803">
                  <w:pPr>
                    <w:spacing w:line="312" w:lineRule="auto"/>
                    <w:rPr>
                      <w:rFonts w:ascii="Arial" w:hAnsi="Arial" w:cs="Arial"/>
                      <w:sz w:val="18"/>
                    </w:rPr>
                  </w:pPr>
                  <w:r w:rsidRPr="009A1A11">
                    <w:rPr>
                      <w:rFonts w:ascii="Arial" w:hAnsi="Arial" w:cs="Arial"/>
                      <w:sz w:val="18"/>
                    </w:rPr>
                    <w:t>Municipio entre 20.000 y 50.000 habitantes (46%)</w:t>
                  </w:r>
                </w:p>
                <w:p w:rsidR="001A0803" w:rsidRPr="009A1A11" w:rsidRDefault="001A0803" w:rsidP="001A0803">
                  <w:pPr>
                    <w:spacing w:line="312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9A1A11">
                    <w:rPr>
                      <w:rFonts w:ascii="Arial" w:hAnsi="Arial" w:cs="Arial"/>
                      <w:sz w:val="18"/>
                    </w:rPr>
                    <w:t xml:space="preserve">Baja intensidad laboral (36,5%) </w:t>
                  </w:r>
                </w:p>
                <w:p w:rsidR="001A0803" w:rsidRPr="009A1A11" w:rsidRDefault="001A0803" w:rsidP="001A0803">
                  <w:pPr>
                    <w:spacing w:line="312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9A1A11">
                    <w:rPr>
                      <w:rFonts w:ascii="Arial" w:hAnsi="Arial" w:cs="Arial"/>
                      <w:sz w:val="18"/>
                    </w:rPr>
                    <w:t>Unipersonal (30%)</w:t>
                  </w:r>
                </w:p>
                <w:p w:rsidR="001A0803" w:rsidRPr="009A1A11" w:rsidRDefault="001A0803" w:rsidP="001A0803">
                  <w:pPr>
                    <w:spacing w:line="312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9A1A11">
                    <w:rPr>
                      <w:rFonts w:ascii="Arial" w:hAnsi="Arial" w:cs="Arial"/>
                      <w:sz w:val="18"/>
                    </w:rPr>
                    <w:t>Nuclear con hijos (32%)</w:t>
                  </w:r>
                </w:p>
                <w:p w:rsidR="001A0803" w:rsidRDefault="001A0803" w:rsidP="001A0803">
                  <w:pPr>
                    <w:spacing w:line="312" w:lineRule="auto"/>
                    <w:rPr>
                      <w:rFonts w:ascii="Arial" w:hAnsi="Arial" w:cs="Arial"/>
                      <w:sz w:val="18"/>
                    </w:rPr>
                  </w:pPr>
                  <w:r w:rsidRPr="009A1A11">
                    <w:rPr>
                      <w:rFonts w:ascii="Arial" w:hAnsi="Arial" w:cs="Arial"/>
                      <w:sz w:val="18"/>
                    </w:rPr>
                    <w:t>2,6 personas por hogar</w:t>
                  </w:r>
                </w:p>
                <w:p w:rsidR="001A0803" w:rsidRPr="009A1A11" w:rsidRDefault="001A0803" w:rsidP="001A0803">
                  <w:pPr>
                    <w:spacing w:line="312" w:lineRule="auto"/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shape>
        </w:pict>
      </w:r>
      <w:r w:rsidR="001A0803" w:rsidRPr="009A1A11">
        <w:rPr>
          <w:rFonts w:ascii="Arial" w:hAnsi="Arial" w:cs="Arial"/>
          <w:noProof/>
          <w:sz w:val="20"/>
          <w:lang w:val="es-ES"/>
        </w:rPr>
        <w:drawing>
          <wp:inline distT="0" distB="0" distL="0" distR="0">
            <wp:extent cx="1594021" cy="1638300"/>
            <wp:effectExtent l="0" t="0" r="0" b="0"/>
            <wp:docPr id="36" name="Imagen 36" descr="C:\Users\tubrich.ssgg\Documents\FOESSA 7\sanitar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brich.ssgg\Documents\FOESSA 7\sanitari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281" r="24336"/>
                    <a:stretch/>
                  </pic:blipFill>
                  <pic:spPr bwMode="auto">
                    <a:xfrm>
                      <a:off x="0" y="0"/>
                      <a:ext cx="1619315" cy="166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0803" w:rsidRPr="009A1A11">
        <w:rPr>
          <w:rFonts w:ascii="Arial" w:hAnsi="Arial" w:cs="Arial"/>
          <w:noProof/>
          <w:sz w:val="20"/>
          <w:lang w:val="es-ES"/>
        </w:rPr>
        <w:drawing>
          <wp:inline distT="0" distB="0" distL="0" distR="0">
            <wp:extent cx="1210190" cy="1243806"/>
            <wp:effectExtent l="0" t="0" r="0" b="0"/>
            <wp:docPr id="49" name="Imagen 49" descr="C:\Users\tubrich.ssgg\Documents\FOESSA 7\sanitar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brich.ssgg\Documents\FOESSA 7\sanitari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281" r="24336"/>
                    <a:stretch/>
                  </pic:blipFill>
                  <pic:spPr bwMode="auto">
                    <a:xfrm>
                      <a:off x="0" y="0"/>
                      <a:ext cx="1243482" cy="127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803" w:rsidRPr="008D37BC" w:rsidRDefault="001A0803" w:rsidP="001A0803">
      <w:pPr>
        <w:pStyle w:val="Pargrafdellista"/>
        <w:spacing w:before="60" w:after="240"/>
        <w:rPr>
          <w:sz w:val="18"/>
        </w:rPr>
      </w:pPr>
      <w:r w:rsidRPr="008D37BC">
        <w:rPr>
          <w:i/>
          <w:sz w:val="18"/>
        </w:rPr>
        <w:t>Fuente</w:t>
      </w:r>
      <w:r w:rsidRPr="008D37BC">
        <w:rPr>
          <w:sz w:val="18"/>
        </w:rPr>
        <w:t>: EINSFOESSA 2013</w:t>
      </w:r>
    </w:p>
    <w:p w:rsidR="00EE3716" w:rsidRPr="00C13B31" w:rsidRDefault="00EE3716" w:rsidP="00EE3716">
      <w:pPr>
        <w:pStyle w:val="Pargrafdellista"/>
        <w:spacing w:before="240" w:after="120"/>
        <w:rPr>
          <w:rFonts w:cs="Arial"/>
          <w:b/>
          <w:highlight w:val="yellow"/>
        </w:rPr>
      </w:pPr>
    </w:p>
    <w:p w:rsidR="00EE3716" w:rsidRPr="00C13B31" w:rsidRDefault="00EE3716" w:rsidP="00EE3716">
      <w:pPr>
        <w:ind w:left="1416" w:firstLine="708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E3716" w:rsidRPr="00C13B31" w:rsidRDefault="00EE3716" w:rsidP="00EE3716">
      <w:pPr>
        <w:pStyle w:val="Pargrafdellista"/>
        <w:spacing w:before="120" w:after="240"/>
        <w:rPr>
          <w:rFonts w:cs="Arial"/>
          <w:highlight w:val="yellow"/>
        </w:rPr>
      </w:pPr>
    </w:p>
    <w:p w:rsidR="00EE3716" w:rsidRPr="00C13B31" w:rsidRDefault="00EE3716" w:rsidP="00EE3716">
      <w:pPr>
        <w:pStyle w:val="Pargrafdellista"/>
        <w:spacing w:before="120" w:after="240"/>
        <w:rPr>
          <w:rFonts w:cs="Arial"/>
          <w:highlight w:val="yellow"/>
        </w:rPr>
      </w:pPr>
    </w:p>
    <w:p w:rsidR="00EE3716" w:rsidRPr="00C13B31" w:rsidRDefault="00EE3716" w:rsidP="00EE3716">
      <w:pPr>
        <w:rPr>
          <w:rFonts w:ascii="Arial" w:hAnsi="Arial" w:cs="Arial"/>
          <w:b/>
          <w:sz w:val="20"/>
          <w:szCs w:val="20"/>
          <w:highlight w:val="yellow"/>
        </w:rPr>
      </w:pPr>
      <w:r w:rsidRPr="00C13B31">
        <w:rPr>
          <w:rFonts w:ascii="Arial" w:hAnsi="Arial" w:cs="Arial"/>
          <w:b/>
          <w:highlight w:val="yellow"/>
        </w:rPr>
        <w:br w:type="page"/>
      </w:r>
    </w:p>
    <w:p w:rsidR="00EE3716" w:rsidRPr="00E7409D" w:rsidRDefault="00EE3716" w:rsidP="00EE3716">
      <w:pPr>
        <w:pStyle w:val="Ttol1"/>
        <w:spacing w:before="0"/>
        <w:rPr>
          <w:rFonts w:cs="Arial"/>
          <w:sz w:val="28"/>
          <w:szCs w:val="28"/>
        </w:rPr>
      </w:pPr>
      <w:r w:rsidRPr="00E7409D">
        <w:rPr>
          <w:rFonts w:cs="Arial"/>
          <w:sz w:val="28"/>
          <w:szCs w:val="28"/>
        </w:rPr>
        <w:lastRenderedPageBreak/>
        <w:t>IDEA 10</w:t>
      </w:r>
    </w:p>
    <w:p w:rsidR="00EE3716" w:rsidRPr="00E7409D" w:rsidRDefault="00EE3716" w:rsidP="00EE3716">
      <w:pPr>
        <w:pStyle w:val="Pargrafdellista"/>
        <w:rPr>
          <w:rFonts w:cs="Arial"/>
          <w:b/>
        </w:rPr>
      </w:pPr>
      <w:r w:rsidRPr="00E7409D">
        <w:rPr>
          <w:rFonts w:cs="Arial"/>
          <w:b/>
        </w:rPr>
        <w:t xml:space="preserve">El riesgo de exclusión social se </w:t>
      </w:r>
      <w:r w:rsidR="00E7409D" w:rsidRPr="00E7409D">
        <w:rPr>
          <w:rFonts w:cs="Arial"/>
          <w:b/>
        </w:rPr>
        <w:t>triplica</w:t>
      </w:r>
      <w:r w:rsidR="00481AE3">
        <w:rPr>
          <w:rFonts w:cs="Arial"/>
          <w:b/>
        </w:rPr>
        <w:t xml:space="preserve"> en la población ocupada con empleo irregular y se duplica</w:t>
      </w:r>
      <w:r w:rsidR="0043405C">
        <w:rPr>
          <w:rFonts w:cs="Arial"/>
          <w:b/>
        </w:rPr>
        <w:t xml:space="preserve"> </w:t>
      </w:r>
      <w:r w:rsidR="00481AE3">
        <w:rPr>
          <w:rFonts w:cs="Arial"/>
          <w:b/>
        </w:rPr>
        <w:t xml:space="preserve">entre las personas </w:t>
      </w:r>
      <w:r w:rsidR="00E7409D" w:rsidRPr="00E7409D">
        <w:rPr>
          <w:rFonts w:cs="Arial"/>
          <w:b/>
        </w:rPr>
        <w:t>situación de desempleo de larga duración</w:t>
      </w:r>
      <w:r w:rsidRPr="00E7409D">
        <w:rPr>
          <w:rFonts w:cs="Arial"/>
          <w:b/>
        </w:rPr>
        <w:t xml:space="preserve">. </w:t>
      </w:r>
    </w:p>
    <w:p w:rsidR="00EE3716" w:rsidRPr="00E7409D" w:rsidRDefault="00EE3716" w:rsidP="00EE3716">
      <w:pPr>
        <w:pStyle w:val="Pargrafdellista"/>
        <w:rPr>
          <w:rFonts w:cs="Arial"/>
        </w:rPr>
      </w:pPr>
      <w:r w:rsidRPr="00E7409D">
        <w:rPr>
          <w:rFonts w:cs="Arial"/>
        </w:rPr>
        <w:t xml:space="preserve">Estas mismas características incrementan el riesgo de exclusión entre los hogares de </w:t>
      </w:r>
      <w:r w:rsidR="002E3C32">
        <w:rPr>
          <w:rFonts w:cs="Arial"/>
        </w:rPr>
        <w:t>Baleares</w:t>
      </w:r>
      <w:r w:rsidRPr="00E7409D">
        <w:rPr>
          <w:rFonts w:cs="Arial"/>
        </w:rPr>
        <w:t xml:space="preserve">, al mismo tiempo que los hogares </w:t>
      </w:r>
      <w:r w:rsidR="00E7409D" w:rsidRPr="00E7409D">
        <w:rPr>
          <w:rFonts w:cs="Arial"/>
        </w:rPr>
        <w:t>que residen en un barrio degradado o marginal</w:t>
      </w:r>
      <w:r w:rsidR="002E3C32">
        <w:rPr>
          <w:rFonts w:cs="Arial"/>
        </w:rPr>
        <w:t>, los hogares monoparentales extendidos u aquellos con alguna persona con minusvalía.</w:t>
      </w:r>
    </w:p>
    <w:p w:rsidR="001A0803" w:rsidRPr="00C131B2" w:rsidRDefault="001A0803" w:rsidP="001A0803">
      <w:pPr>
        <w:pStyle w:val="Pargrafdellista"/>
        <w:spacing w:before="240" w:after="120" w:line="240" w:lineRule="auto"/>
        <w:rPr>
          <w:b/>
        </w:rPr>
      </w:pPr>
      <w:r w:rsidRPr="00C131B2">
        <w:rPr>
          <w:b/>
        </w:rPr>
        <w:t>Riesgo de exclusión social (%) de la población de Baleares y España, según características socio-demográficas</w:t>
      </w:r>
    </w:p>
    <w:tbl>
      <w:tblPr>
        <w:tblStyle w:val="Llistaclaramfasi6"/>
        <w:tblW w:w="5000" w:type="pct"/>
        <w:tblLook w:val="04A0"/>
      </w:tblPr>
      <w:tblGrid>
        <w:gridCol w:w="5070"/>
        <w:gridCol w:w="1983"/>
        <w:gridCol w:w="1661"/>
      </w:tblGrid>
      <w:tr w:rsidR="001A0803" w:rsidRPr="00A84582" w:rsidTr="00AF367C">
        <w:trPr>
          <w:cnfStyle w:val="100000000000"/>
          <w:trHeight w:val="300"/>
        </w:trPr>
        <w:tc>
          <w:tcPr>
            <w:cnfStyle w:val="001000000000"/>
            <w:tcW w:w="2909" w:type="pct"/>
            <w:noWrap/>
            <w:hideMark/>
          </w:tcPr>
          <w:p w:rsidR="001A0803" w:rsidRPr="002E3C32" w:rsidRDefault="001A0803" w:rsidP="00AF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2"/>
            <w:vAlign w:val="center"/>
            <w:hideMark/>
          </w:tcPr>
          <w:p w:rsidR="001A0803" w:rsidRPr="00A84582" w:rsidRDefault="001A0803" w:rsidP="00AF367C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s-ES"/>
              </w:rPr>
            </w:pPr>
            <w:r w:rsidRPr="00A8458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% Población</w:t>
            </w:r>
          </w:p>
        </w:tc>
      </w:tr>
      <w:tr w:rsidR="001A0803" w:rsidRPr="00A84582" w:rsidTr="00AF367C">
        <w:trPr>
          <w:cnfStyle w:val="000000100000"/>
          <w:trHeight w:val="315"/>
        </w:trPr>
        <w:tc>
          <w:tcPr>
            <w:cnfStyle w:val="001000000000"/>
            <w:tcW w:w="2909" w:type="pct"/>
            <w:noWrap/>
            <w:hideMark/>
          </w:tcPr>
          <w:p w:rsidR="001A0803" w:rsidRPr="00A84582" w:rsidRDefault="001A0803" w:rsidP="00AF36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38" w:type="pct"/>
            <w:noWrap/>
            <w:vAlign w:val="center"/>
            <w:hideMark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4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953" w:type="pct"/>
            <w:tcBorders>
              <w:top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4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Baleares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noWrap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TOTAL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25,1</w:t>
            </w:r>
          </w:p>
        </w:tc>
        <w:tc>
          <w:tcPr>
            <w:tcW w:w="953" w:type="pct"/>
            <w:tcBorders>
              <w:top w:val="nil"/>
              <w:bottom w:val="single" w:sz="8" w:space="0" w:color="F79646" w:themeColor="accent6"/>
            </w:tcBorders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ocupada con trabajo temporal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27,7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con Graduado Escolar o en ESO, Bachiller elemental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582"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53" w:type="pct"/>
            <w:tcBorders>
              <w:top w:val="single" w:sz="8" w:space="0" w:color="F79646" w:themeColor="accent6"/>
              <w:bottom w:val="single" w:sz="8" w:space="0" w:color="F79646" w:themeColor="accent6"/>
            </w:tcBorders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extranjera-No UE15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menor de 18 años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desempleada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50,3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desempleada larga duración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58,7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Persona ocupada con trabajo irregular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56,5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</w:tbl>
    <w:p w:rsidR="001A0803" w:rsidRPr="00C131B2" w:rsidRDefault="001A0803" w:rsidP="001A0803">
      <w:pPr>
        <w:pStyle w:val="Pargrafdellista"/>
        <w:spacing w:before="60" w:after="240" w:line="240" w:lineRule="auto"/>
        <w:rPr>
          <w:sz w:val="18"/>
        </w:rPr>
      </w:pPr>
      <w:r w:rsidRPr="00C131B2">
        <w:rPr>
          <w:i/>
          <w:sz w:val="18"/>
        </w:rPr>
        <w:t xml:space="preserve">Fuente: </w:t>
      </w:r>
      <w:r w:rsidRPr="00C131B2">
        <w:rPr>
          <w:sz w:val="18"/>
        </w:rPr>
        <w:t>EINSFOESSA 2013</w:t>
      </w:r>
    </w:p>
    <w:p w:rsidR="001A0803" w:rsidRDefault="001A0803" w:rsidP="001A0803">
      <w:pPr>
        <w:pStyle w:val="Pargrafdellista"/>
        <w:spacing w:before="240" w:after="120" w:line="240" w:lineRule="auto"/>
        <w:rPr>
          <w:b/>
        </w:rPr>
      </w:pPr>
    </w:p>
    <w:p w:rsidR="001A0803" w:rsidRPr="00C131B2" w:rsidRDefault="001A0803" w:rsidP="001A0803">
      <w:pPr>
        <w:pStyle w:val="Pargrafdellista"/>
        <w:spacing w:after="120" w:line="240" w:lineRule="auto"/>
        <w:rPr>
          <w:b/>
        </w:rPr>
      </w:pPr>
      <w:r w:rsidRPr="00C131B2">
        <w:rPr>
          <w:b/>
        </w:rPr>
        <w:t>Riesgo de exclusión social (%) de los hogares en Baleares y España, según características socio-demográficas</w:t>
      </w:r>
    </w:p>
    <w:tbl>
      <w:tblPr>
        <w:tblStyle w:val="Llistaclaramfasi6"/>
        <w:tblW w:w="5000" w:type="pct"/>
        <w:tblLook w:val="04A0"/>
      </w:tblPr>
      <w:tblGrid>
        <w:gridCol w:w="5070"/>
        <w:gridCol w:w="1983"/>
        <w:gridCol w:w="1661"/>
      </w:tblGrid>
      <w:tr w:rsidR="001A0803" w:rsidRPr="00A84582" w:rsidTr="00AF367C">
        <w:trPr>
          <w:cnfStyle w:val="100000000000"/>
          <w:trHeight w:val="300"/>
        </w:trPr>
        <w:tc>
          <w:tcPr>
            <w:cnfStyle w:val="001000000000"/>
            <w:tcW w:w="2909" w:type="pct"/>
            <w:noWrap/>
            <w:hideMark/>
          </w:tcPr>
          <w:p w:rsidR="001A0803" w:rsidRPr="00A84582" w:rsidRDefault="001A0803" w:rsidP="00AF36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091" w:type="pct"/>
            <w:gridSpan w:val="2"/>
            <w:vAlign w:val="center"/>
            <w:hideMark/>
          </w:tcPr>
          <w:p w:rsidR="001A0803" w:rsidRPr="00A84582" w:rsidRDefault="001A0803" w:rsidP="00AF367C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s-ES"/>
              </w:rPr>
            </w:pPr>
            <w:r w:rsidRPr="00A8458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% Hogares</w:t>
            </w:r>
          </w:p>
        </w:tc>
      </w:tr>
      <w:tr w:rsidR="001A0803" w:rsidRPr="00A84582" w:rsidTr="00AF367C">
        <w:trPr>
          <w:cnfStyle w:val="000000100000"/>
          <w:trHeight w:val="315"/>
        </w:trPr>
        <w:tc>
          <w:tcPr>
            <w:cnfStyle w:val="001000000000"/>
            <w:tcW w:w="2909" w:type="pct"/>
            <w:noWrap/>
            <w:hideMark/>
          </w:tcPr>
          <w:p w:rsidR="001A0803" w:rsidRPr="00A84582" w:rsidRDefault="001A0803" w:rsidP="00AF36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38" w:type="pct"/>
            <w:noWrap/>
            <w:vAlign w:val="center"/>
            <w:hideMark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4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953" w:type="pct"/>
            <w:tcBorders>
              <w:top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4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Baleares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noWrap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TOTAL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953" w:type="pct"/>
            <w:tcBorders>
              <w:top w:val="nil"/>
              <w:bottom w:val="single" w:sz="8" w:space="0" w:color="F79646" w:themeColor="accent6"/>
            </w:tcBorders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27,3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en municipio entre 50.000 y 100.000 habitantes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Hogar en municipio entre 2</w:t>
            </w: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 xml:space="preserve">0.000 y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0.000 habitantes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582"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53" w:type="pct"/>
            <w:tcBorders>
              <w:top w:val="single" w:sz="8" w:space="0" w:color="F79646" w:themeColor="accent6"/>
              <w:bottom w:val="single" w:sz="8" w:space="0" w:color="F79646" w:themeColor="accent6"/>
            </w:tcBorders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con alguna persona menor de 18 años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32,3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con alguna persona extranjera-No UE15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49,3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39,3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GoBack" w:colFirst="2" w:colLast="2"/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unipersonal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con alguna persona con minusvalía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42,3</w:t>
            </w:r>
          </w:p>
        </w:tc>
      </w:tr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monoparental extendido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32,3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en barrio degradado o marginal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bookmarkEnd w:id="0"/>
      <w:tr w:rsidR="001A0803" w:rsidRPr="00A84582" w:rsidTr="00AF367C">
        <w:trPr>
          <w:cnfStyle w:val="000000100000"/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con alguna persona desempleada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46,2</w:t>
            </w:r>
          </w:p>
        </w:tc>
      </w:tr>
      <w:tr w:rsidR="001A0803" w:rsidRPr="00A84582" w:rsidTr="00AF367C">
        <w:trPr>
          <w:trHeight w:val="340"/>
        </w:trPr>
        <w:tc>
          <w:tcPr>
            <w:cnfStyle w:val="001000000000"/>
            <w:tcW w:w="2909" w:type="pct"/>
            <w:vAlign w:val="center"/>
          </w:tcPr>
          <w:p w:rsidR="001A0803" w:rsidRPr="00A84582" w:rsidRDefault="001A0803" w:rsidP="00AF367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582">
              <w:rPr>
                <w:rFonts w:ascii="Arial" w:hAnsi="Arial" w:cs="Arial"/>
                <w:b w:val="0"/>
                <w:sz w:val="20"/>
                <w:szCs w:val="20"/>
              </w:rPr>
              <w:t>Hogar con baja intensidad laboral</w:t>
            </w:r>
          </w:p>
        </w:tc>
        <w:tc>
          <w:tcPr>
            <w:tcW w:w="1138" w:type="pct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953" w:type="pct"/>
            <w:shd w:val="clear" w:color="auto" w:fill="FBD4B4" w:themeFill="accent6" w:themeFillTint="66"/>
            <w:noWrap/>
            <w:vAlign w:val="center"/>
          </w:tcPr>
          <w:p w:rsidR="001A0803" w:rsidRPr="00A84582" w:rsidRDefault="001A0803" w:rsidP="00AF367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A84582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</w:tr>
    </w:tbl>
    <w:p w:rsidR="006A47D6" w:rsidRDefault="001A0803" w:rsidP="002E3C32">
      <w:pPr>
        <w:pStyle w:val="Pargrafdellista"/>
        <w:spacing w:before="60" w:after="240" w:line="240" w:lineRule="auto"/>
      </w:pPr>
      <w:r w:rsidRPr="00C131B2">
        <w:rPr>
          <w:i/>
          <w:sz w:val="18"/>
        </w:rPr>
        <w:t xml:space="preserve">Fuente: </w:t>
      </w:r>
      <w:r w:rsidRPr="00C131B2">
        <w:rPr>
          <w:sz w:val="18"/>
        </w:rPr>
        <w:t>EINSFOESSA 2013</w:t>
      </w:r>
      <w:r w:rsidR="006A47D6">
        <w:br w:type="page"/>
      </w:r>
    </w:p>
    <w:p w:rsidR="00BF29ED" w:rsidRPr="00D72BB3" w:rsidRDefault="00BF29ED" w:rsidP="00D72BB3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4445</wp:posOffset>
            </wp:positionV>
            <wp:extent cx="7562850" cy="10696575"/>
            <wp:effectExtent l="0" t="0" r="635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 TERRITORIALES FOESSA 2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BF29ED" w:rsidRPr="00D72BB3" w:rsidSect="004F3A9E">
      <w:headerReference w:type="default" r:id="rId20"/>
      <w:footerReference w:type="default" r:id="rId21"/>
      <w:type w:val="continuous"/>
      <w:pgSz w:w="11900" w:h="16840"/>
      <w:pgMar w:top="1417" w:right="1701" w:bottom="1276" w:left="1701" w:header="0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D4" w:rsidRDefault="00457ED4" w:rsidP="00947515">
      <w:r>
        <w:separator/>
      </w:r>
    </w:p>
  </w:endnote>
  <w:endnote w:type="continuationSeparator" w:id="1">
    <w:p w:rsidR="00457ED4" w:rsidRDefault="00457ED4" w:rsidP="0094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</w:rPr>
      <w:id w:val="1647473019"/>
      <w:docPartObj>
        <w:docPartGallery w:val="Page Numbers (Bottom of Page)"/>
        <w:docPartUnique/>
      </w:docPartObj>
    </w:sdtPr>
    <w:sdtContent>
      <w:p w:rsidR="00805296" w:rsidRPr="00664E84" w:rsidRDefault="00CC1049" w:rsidP="00664E84">
        <w:pPr>
          <w:pStyle w:val="Peu"/>
          <w:tabs>
            <w:tab w:val="clear" w:pos="8504"/>
            <w:tab w:val="right" w:pos="9072"/>
          </w:tabs>
          <w:ind w:right="-574"/>
          <w:jc w:val="right"/>
          <w:rPr>
            <w:rFonts w:ascii="Arial" w:hAnsi="Arial" w:cs="Arial"/>
            <w:sz w:val="20"/>
          </w:rPr>
        </w:pPr>
        <w:r w:rsidRPr="00664E84">
          <w:rPr>
            <w:rFonts w:ascii="Arial" w:hAnsi="Arial" w:cs="Arial"/>
            <w:sz w:val="20"/>
          </w:rPr>
          <w:fldChar w:fldCharType="begin"/>
        </w:r>
        <w:r w:rsidR="00805296" w:rsidRPr="00664E84">
          <w:rPr>
            <w:rFonts w:ascii="Arial" w:hAnsi="Arial" w:cs="Arial"/>
            <w:sz w:val="20"/>
          </w:rPr>
          <w:instrText>PAGE   \* MERGEFORMAT</w:instrText>
        </w:r>
        <w:r w:rsidRPr="00664E84">
          <w:rPr>
            <w:rFonts w:ascii="Arial" w:hAnsi="Arial" w:cs="Arial"/>
            <w:sz w:val="20"/>
          </w:rPr>
          <w:fldChar w:fldCharType="separate"/>
        </w:r>
        <w:r w:rsidR="009C233A" w:rsidRPr="009C233A">
          <w:rPr>
            <w:rFonts w:ascii="Arial" w:hAnsi="Arial" w:cs="Arial"/>
            <w:noProof/>
            <w:sz w:val="20"/>
            <w:lang w:val="es-ES"/>
          </w:rPr>
          <w:t>3</w:t>
        </w:r>
        <w:r w:rsidRPr="00664E84">
          <w:rPr>
            <w:rFonts w:ascii="Arial" w:hAnsi="Arial" w:cs="Arial"/>
            <w:sz w:val="20"/>
          </w:rPr>
          <w:fldChar w:fldCharType="end"/>
        </w:r>
      </w:p>
    </w:sdtContent>
  </w:sdt>
  <w:p w:rsidR="00805296" w:rsidRDefault="00805296">
    <w:pPr>
      <w:pStyle w:val="Peu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172085</wp:posOffset>
          </wp:positionV>
          <wp:extent cx="7562850" cy="2667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 TERRITORIALES FOESSA 2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66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D4" w:rsidRDefault="00457ED4" w:rsidP="00947515">
      <w:r>
        <w:separator/>
      </w:r>
    </w:p>
  </w:footnote>
  <w:footnote w:type="continuationSeparator" w:id="1">
    <w:p w:rsidR="00457ED4" w:rsidRDefault="00457ED4" w:rsidP="00947515">
      <w:r>
        <w:continuationSeparator/>
      </w:r>
    </w:p>
  </w:footnote>
  <w:footnote w:id="2">
    <w:p w:rsidR="009256F6" w:rsidRPr="009256F6" w:rsidRDefault="009256F6" w:rsidP="009256F6">
      <w:pPr>
        <w:pStyle w:val="Textdenotaapeudepgina"/>
        <w:jc w:val="both"/>
        <w:rPr>
          <w:rFonts w:ascii="Arial" w:hAnsi="Arial" w:cs="Arial"/>
          <w:sz w:val="18"/>
          <w:lang w:val="es-ES"/>
        </w:rPr>
      </w:pPr>
      <w:r w:rsidRPr="009256F6">
        <w:rPr>
          <w:rStyle w:val="Refernciadenotaapeudepgina"/>
          <w:rFonts w:ascii="Arial" w:hAnsi="Arial" w:cs="Arial"/>
          <w:sz w:val="18"/>
        </w:rPr>
        <w:footnoteRef/>
      </w:r>
      <w:r w:rsidRPr="009256F6">
        <w:rPr>
          <w:rFonts w:ascii="Arial" w:hAnsi="Arial" w:cs="Arial"/>
          <w:sz w:val="18"/>
        </w:rPr>
        <w:t xml:space="preserve"> Véase glosario</w:t>
      </w:r>
      <w:r>
        <w:rPr>
          <w:rFonts w:ascii="Arial" w:hAnsi="Arial" w:cs="Arial"/>
          <w:sz w:val="18"/>
        </w:rPr>
        <w:t xml:space="preserve"> EXCLUSIÓN SOCIAL</w:t>
      </w:r>
      <w:r w:rsidRPr="009256F6">
        <w:rPr>
          <w:rFonts w:ascii="Arial" w:hAnsi="Arial" w:cs="Arial"/>
          <w:sz w:val="18"/>
        </w:rPr>
        <w:t xml:space="preserve">: dimensión </w:t>
      </w:r>
      <w:r w:rsidRPr="009256F6">
        <w:rPr>
          <w:rFonts w:ascii="Arial" w:hAnsi="Arial" w:cs="Arial"/>
          <w:sz w:val="18"/>
          <w:lang w:val="es-ES"/>
        </w:rPr>
        <w:t xml:space="preserve">de empleo (6 indicadores), dimensión de </w:t>
      </w:r>
      <w:r w:rsidR="00240D47">
        <w:rPr>
          <w:rFonts w:ascii="Arial" w:hAnsi="Arial" w:cs="Arial"/>
          <w:sz w:val="18"/>
          <w:lang w:val="es-ES"/>
        </w:rPr>
        <w:t>la política</w:t>
      </w:r>
      <w:r w:rsidRPr="009256F6">
        <w:rPr>
          <w:rFonts w:ascii="Arial" w:hAnsi="Arial" w:cs="Arial"/>
          <w:sz w:val="18"/>
          <w:lang w:val="es-ES"/>
        </w:rPr>
        <w:t xml:space="preserve"> (</w:t>
      </w:r>
      <w:r w:rsidR="00240D47">
        <w:rPr>
          <w:rFonts w:ascii="Arial" w:hAnsi="Arial" w:cs="Arial"/>
          <w:sz w:val="18"/>
          <w:lang w:val="es-ES"/>
        </w:rPr>
        <w:t>2</w:t>
      </w:r>
      <w:r w:rsidRPr="009256F6">
        <w:rPr>
          <w:rFonts w:ascii="Arial" w:hAnsi="Arial" w:cs="Arial"/>
          <w:sz w:val="18"/>
          <w:lang w:val="es-ES"/>
        </w:rPr>
        <w:t xml:space="preserve"> in</w:t>
      </w:r>
      <w:r w:rsidR="00240D47">
        <w:rPr>
          <w:rFonts w:ascii="Arial" w:hAnsi="Arial" w:cs="Arial"/>
          <w:sz w:val="18"/>
          <w:lang w:val="es-ES"/>
        </w:rPr>
        <w:t xml:space="preserve">dicadores) y dimensión de vivienda </w:t>
      </w:r>
      <w:r>
        <w:rPr>
          <w:rFonts w:ascii="Arial" w:hAnsi="Arial" w:cs="Arial"/>
          <w:sz w:val="18"/>
          <w:lang w:val="es-ES"/>
        </w:rPr>
        <w:t>(</w:t>
      </w:r>
      <w:r w:rsidR="00240D47">
        <w:rPr>
          <w:rFonts w:ascii="Arial" w:hAnsi="Arial" w:cs="Arial"/>
          <w:sz w:val="18"/>
          <w:lang w:val="es-ES"/>
        </w:rPr>
        <w:t>7</w:t>
      </w:r>
      <w:r>
        <w:rPr>
          <w:rFonts w:ascii="Arial" w:hAnsi="Arial" w:cs="Arial"/>
          <w:sz w:val="18"/>
          <w:lang w:val="es-ES"/>
        </w:rPr>
        <w:t xml:space="preserve"> indicadores).</w:t>
      </w:r>
    </w:p>
  </w:footnote>
  <w:footnote w:id="3">
    <w:p w:rsidR="009256F6" w:rsidRPr="009256F6" w:rsidRDefault="009256F6" w:rsidP="009256F6">
      <w:pPr>
        <w:pStyle w:val="Textdenotaapeudepgina"/>
        <w:jc w:val="both"/>
        <w:rPr>
          <w:rFonts w:ascii="Arial" w:hAnsi="Arial" w:cs="Arial"/>
          <w:sz w:val="18"/>
          <w:lang w:val="es-ES"/>
        </w:rPr>
      </w:pPr>
      <w:r w:rsidRPr="009256F6">
        <w:rPr>
          <w:rStyle w:val="Refernciadenotaapeudepgina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>La dimensión de</w:t>
      </w:r>
      <w:r w:rsidR="00663966">
        <w:rPr>
          <w:rFonts w:ascii="Arial" w:hAnsi="Arial" w:cs="Arial"/>
          <w:sz w:val="18"/>
        </w:rPr>
        <w:t xml:space="preserve"> exclusión del</w:t>
      </w:r>
      <w:r>
        <w:rPr>
          <w:rFonts w:ascii="Arial" w:hAnsi="Arial" w:cs="Arial"/>
          <w:sz w:val="18"/>
        </w:rPr>
        <w:t xml:space="preserve"> empleo se compone de </w:t>
      </w:r>
      <w:r w:rsidRPr="009256F6">
        <w:rPr>
          <w:rFonts w:ascii="Arial" w:hAnsi="Arial" w:cs="Arial"/>
          <w:sz w:val="18"/>
        </w:rPr>
        <w:t>6 indicadores</w:t>
      </w:r>
      <w:r>
        <w:rPr>
          <w:rFonts w:ascii="Arial" w:hAnsi="Arial" w:cs="Arial"/>
          <w:sz w:val="18"/>
        </w:rPr>
        <w:t xml:space="preserve">: </w:t>
      </w:r>
      <w:r w:rsidRPr="009256F6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 xml:space="preserve">. </w:t>
      </w:r>
      <w:r w:rsidRPr="009256F6">
        <w:rPr>
          <w:rFonts w:ascii="Arial" w:hAnsi="Arial" w:cs="Arial"/>
          <w:sz w:val="18"/>
        </w:rPr>
        <w:t>Hogares cuyo sustentador principal está en paro desde hace un año o más</w:t>
      </w:r>
      <w:r>
        <w:rPr>
          <w:rFonts w:ascii="Arial" w:hAnsi="Arial" w:cs="Arial"/>
          <w:sz w:val="18"/>
        </w:rPr>
        <w:t xml:space="preserve">; </w:t>
      </w:r>
      <w:r w:rsidRPr="009256F6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 xml:space="preserve">. </w:t>
      </w:r>
      <w:r w:rsidRPr="009256F6">
        <w:rPr>
          <w:rFonts w:ascii="Arial" w:hAnsi="Arial" w:cs="Arial"/>
          <w:sz w:val="18"/>
        </w:rPr>
        <w:t>Hogares cuyo sustentador principal tiene empleo de exclusión: vendedor a domicilio, venta ambulante apoyo, marginal, empleadas hogar no cualificadas, peones agrícolas eventuales temporeros, recogedores de cartón, reparto propaganda, mendicidad</w:t>
      </w:r>
      <w:r>
        <w:rPr>
          <w:rFonts w:ascii="Arial" w:hAnsi="Arial" w:cs="Arial"/>
          <w:sz w:val="18"/>
        </w:rPr>
        <w:t xml:space="preserve">; </w:t>
      </w:r>
      <w:r w:rsidRPr="009256F6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 xml:space="preserve">. </w:t>
      </w:r>
      <w:r w:rsidRPr="009256F6">
        <w:rPr>
          <w:rFonts w:ascii="Arial" w:hAnsi="Arial" w:cs="Arial"/>
          <w:sz w:val="18"/>
        </w:rPr>
        <w:t>Hogares cuyo sustentador principal tiene un empleo de exclusión: que no tiene cobertura de la seguridad social (empleo irregular)</w:t>
      </w:r>
      <w:r>
        <w:rPr>
          <w:rFonts w:ascii="Arial" w:hAnsi="Arial" w:cs="Arial"/>
          <w:sz w:val="18"/>
        </w:rPr>
        <w:t xml:space="preserve">; </w:t>
      </w:r>
      <w:r w:rsidRPr="009256F6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. </w:t>
      </w:r>
      <w:r w:rsidRPr="009256F6">
        <w:rPr>
          <w:rFonts w:ascii="Arial" w:hAnsi="Arial" w:cs="Arial"/>
          <w:sz w:val="18"/>
        </w:rPr>
        <w:t>Hogares sin ocupados, ni pensionistas contributivos, ni de baja, ni con prestaciones contributivas por desempleo del INEM</w:t>
      </w:r>
      <w:r>
        <w:rPr>
          <w:rFonts w:ascii="Arial" w:hAnsi="Arial" w:cs="Arial"/>
          <w:sz w:val="18"/>
        </w:rPr>
        <w:t xml:space="preserve">; </w:t>
      </w:r>
      <w:r w:rsidRPr="009256F6">
        <w:rPr>
          <w:rFonts w:ascii="Arial" w:hAnsi="Arial" w:cs="Arial"/>
          <w:sz w:val="18"/>
        </w:rPr>
        <w:t>5</w:t>
      </w:r>
      <w:r>
        <w:rPr>
          <w:rFonts w:ascii="Arial" w:hAnsi="Arial" w:cs="Arial"/>
          <w:sz w:val="18"/>
        </w:rPr>
        <w:t xml:space="preserve">. </w:t>
      </w:r>
      <w:r w:rsidRPr="009256F6">
        <w:rPr>
          <w:rFonts w:ascii="Arial" w:hAnsi="Arial" w:cs="Arial"/>
          <w:sz w:val="18"/>
        </w:rPr>
        <w:t>Hogares con personas en paro y sin haber recibido formación ocupacional en el último año</w:t>
      </w:r>
      <w:r>
        <w:rPr>
          <w:rFonts w:ascii="Arial" w:hAnsi="Arial" w:cs="Arial"/>
          <w:sz w:val="18"/>
        </w:rPr>
        <w:t xml:space="preserve">; </w:t>
      </w:r>
      <w:r w:rsidRPr="009256F6">
        <w:rPr>
          <w:rFonts w:ascii="Arial" w:hAnsi="Arial" w:cs="Arial"/>
          <w:sz w:val="18"/>
        </w:rPr>
        <w:t>6</w:t>
      </w:r>
      <w:r>
        <w:rPr>
          <w:rFonts w:ascii="Arial" w:hAnsi="Arial" w:cs="Arial"/>
          <w:sz w:val="18"/>
        </w:rPr>
        <w:t xml:space="preserve">. </w:t>
      </w:r>
      <w:r w:rsidRPr="009256F6">
        <w:rPr>
          <w:rFonts w:ascii="Arial" w:hAnsi="Arial" w:cs="Arial"/>
          <w:sz w:val="18"/>
        </w:rPr>
        <w:t>Hogares con todos los activos en paro, dimensión de vivienda (8 indicadores) y dimensión de salud (6 indicadores).</w:t>
      </w:r>
    </w:p>
  </w:footnote>
  <w:footnote w:id="4">
    <w:p w:rsidR="003B69E5" w:rsidRPr="00737CEB" w:rsidRDefault="003B69E5" w:rsidP="003B69E5">
      <w:pPr>
        <w:jc w:val="both"/>
        <w:rPr>
          <w:rFonts w:ascii="Arial" w:eastAsia="Times New Roman" w:hAnsi="Arial" w:cs="Arial"/>
          <w:b/>
          <w:bCs/>
          <w:sz w:val="18"/>
          <w:szCs w:val="18"/>
          <w:lang w:val="es-ES"/>
        </w:rPr>
      </w:pPr>
      <w:r w:rsidRPr="00362A6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362A69">
        <w:rPr>
          <w:rFonts w:ascii="Arial" w:hAnsi="Arial" w:cs="Arial"/>
          <w:sz w:val="18"/>
          <w:szCs w:val="18"/>
        </w:rPr>
        <w:t xml:space="preserve"> Al no disponer de un dato más actualizado, la tasa de variación del gasto medio por hogar del grupo de Enseñanza corresponde al año 2012 respecto del año base (2006).</w:t>
      </w:r>
    </w:p>
    <w:p w:rsidR="003B69E5" w:rsidRPr="00E65B7C" w:rsidRDefault="003B69E5" w:rsidP="003B69E5">
      <w:pPr>
        <w:pStyle w:val="Textdenotaapeudepgina"/>
        <w:rPr>
          <w:lang w:val="es-E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96" w:rsidRDefault="00805296">
    <w:pPr>
      <w:pStyle w:val="Capalera"/>
    </w:pPr>
    <w:r>
      <w:rPr>
        <w:rFonts w:ascii="Arial" w:hAnsi="Arial"/>
        <w:noProof/>
        <w:sz w:val="20"/>
        <w:szCs w:val="20"/>
        <w:lang w:val="es-ES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column">
            <wp:posOffset>-1082040</wp:posOffset>
          </wp:positionH>
          <wp:positionV relativeFrom="paragraph">
            <wp:posOffset>4394835</wp:posOffset>
          </wp:positionV>
          <wp:extent cx="6838950" cy="6038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 TERRITORIALES FOESSA 22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6038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2850" cy="1562100"/>
          <wp:effectExtent l="0" t="0" r="635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 TERRITORIALES FOESSA 22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562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CC1049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2" o:spid="_x0000_s4097" type="#_x0000_t202" style="position:absolute;margin-left:45pt;margin-top:16.85pt;width:5in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" filled="f" stroked="f">
          <v:textbox>
            <w:txbxContent>
              <w:p w:rsidR="00805296" w:rsidRPr="00B113A0" w:rsidRDefault="00733AD2" w:rsidP="00733AD2">
                <w:pPr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sz w:val="28"/>
                    <w:szCs w:val="28"/>
                  </w:rPr>
                  <w:t xml:space="preserve">IDEAS FUERZA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079"/>
    <w:multiLevelType w:val="hybridMultilevel"/>
    <w:tmpl w:val="DB24AD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D92904"/>
    <w:multiLevelType w:val="hybridMultilevel"/>
    <w:tmpl w:val="91D887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A79B3"/>
    <w:multiLevelType w:val="hybridMultilevel"/>
    <w:tmpl w:val="BA8C472E"/>
    <w:lvl w:ilvl="0" w:tplc="4C56E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A913FF"/>
    <w:multiLevelType w:val="multilevel"/>
    <w:tmpl w:val="1D744F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E803A8"/>
    <w:multiLevelType w:val="hybridMultilevel"/>
    <w:tmpl w:val="A9AA7A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7515"/>
    <w:rsid w:val="0000427A"/>
    <w:rsid w:val="000151AC"/>
    <w:rsid w:val="00064497"/>
    <w:rsid w:val="00072CCC"/>
    <w:rsid w:val="00075E64"/>
    <w:rsid w:val="00087952"/>
    <w:rsid w:val="000C69C6"/>
    <w:rsid w:val="000C76B6"/>
    <w:rsid w:val="000E481A"/>
    <w:rsid w:val="001122B0"/>
    <w:rsid w:val="001150A3"/>
    <w:rsid w:val="0012672A"/>
    <w:rsid w:val="00135CD8"/>
    <w:rsid w:val="0014229A"/>
    <w:rsid w:val="00156F40"/>
    <w:rsid w:val="00162988"/>
    <w:rsid w:val="00192D3F"/>
    <w:rsid w:val="001A0803"/>
    <w:rsid w:val="001A4B46"/>
    <w:rsid w:val="001B2B52"/>
    <w:rsid w:val="001B3BB4"/>
    <w:rsid w:val="001C56F4"/>
    <w:rsid w:val="001C5D0B"/>
    <w:rsid w:val="00237013"/>
    <w:rsid w:val="00240D47"/>
    <w:rsid w:val="00246964"/>
    <w:rsid w:val="0029492C"/>
    <w:rsid w:val="002B404C"/>
    <w:rsid w:val="002E3C32"/>
    <w:rsid w:val="002E7266"/>
    <w:rsid w:val="002F6574"/>
    <w:rsid w:val="002F7977"/>
    <w:rsid w:val="00301009"/>
    <w:rsid w:val="00301259"/>
    <w:rsid w:val="0030407E"/>
    <w:rsid w:val="00304129"/>
    <w:rsid w:val="003138F3"/>
    <w:rsid w:val="0031632F"/>
    <w:rsid w:val="003218D8"/>
    <w:rsid w:val="00331535"/>
    <w:rsid w:val="00371815"/>
    <w:rsid w:val="003750C1"/>
    <w:rsid w:val="00383B1D"/>
    <w:rsid w:val="00386F22"/>
    <w:rsid w:val="003954AF"/>
    <w:rsid w:val="003A0E2A"/>
    <w:rsid w:val="003A5055"/>
    <w:rsid w:val="003B0046"/>
    <w:rsid w:val="003B69E5"/>
    <w:rsid w:val="003C3CAE"/>
    <w:rsid w:val="003D4FC3"/>
    <w:rsid w:val="003D58D3"/>
    <w:rsid w:val="003E2891"/>
    <w:rsid w:val="003F01EF"/>
    <w:rsid w:val="00412777"/>
    <w:rsid w:val="004163E8"/>
    <w:rsid w:val="00417519"/>
    <w:rsid w:val="004257EC"/>
    <w:rsid w:val="0043405C"/>
    <w:rsid w:val="00445830"/>
    <w:rsid w:val="0045758E"/>
    <w:rsid w:val="00457ED4"/>
    <w:rsid w:val="00460D43"/>
    <w:rsid w:val="004628C3"/>
    <w:rsid w:val="004777B3"/>
    <w:rsid w:val="00481AE3"/>
    <w:rsid w:val="004940CA"/>
    <w:rsid w:val="004A0375"/>
    <w:rsid w:val="004B4DC1"/>
    <w:rsid w:val="004C0FDA"/>
    <w:rsid w:val="004D7840"/>
    <w:rsid w:val="004F1895"/>
    <w:rsid w:val="004F3A9E"/>
    <w:rsid w:val="004F4A9E"/>
    <w:rsid w:val="004F744B"/>
    <w:rsid w:val="005338FE"/>
    <w:rsid w:val="00535B9E"/>
    <w:rsid w:val="00541497"/>
    <w:rsid w:val="0057364D"/>
    <w:rsid w:val="005772CE"/>
    <w:rsid w:val="005917A6"/>
    <w:rsid w:val="005C7D06"/>
    <w:rsid w:val="005E30E3"/>
    <w:rsid w:val="005F5A1F"/>
    <w:rsid w:val="0063234E"/>
    <w:rsid w:val="00643DA4"/>
    <w:rsid w:val="00652D90"/>
    <w:rsid w:val="006576EA"/>
    <w:rsid w:val="00663966"/>
    <w:rsid w:val="00664E84"/>
    <w:rsid w:val="00672459"/>
    <w:rsid w:val="00677B5A"/>
    <w:rsid w:val="00684F64"/>
    <w:rsid w:val="006A47D6"/>
    <w:rsid w:val="006B2473"/>
    <w:rsid w:val="006B6242"/>
    <w:rsid w:val="006C3B1D"/>
    <w:rsid w:val="006C3CC2"/>
    <w:rsid w:val="006E4643"/>
    <w:rsid w:val="007045D4"/>
    <w:rsid w:val="00713C5A"/>
    <w:rsid w:val="007220FE"/>
    <w:rsid w:val="007227C5"/>
    <w:rsid w:val="007233D3"/>
    <w:rsid w:val="00733AD2"/>
    <w:rsid w:val="007361F2"/>
    <w:rsid w:val="00737CEB"/>
    <w:rsid w:val="0075593D"/>
    <w:rsid w:val="00756D1B"/>
    <w:rsid w:val="00775466"/>
    <w:rsid w:val="00783025"/>
    <w:rsid w:val="00796926"/>
    <w:rsid w:val="007A3759"/>
    <w:rsid w:val="007A50A9"/>
    <w:rsid w:val="007B1FB5"/>
    <w:rsid w:val="007C5178"/>
    <w:rsid w:val="007E5417"/>
    <w:rsid w:val="007F0B69"/>
    <w:rsid w:val="007F1F7E"/>
    <w:rsid w:val="007F635C"/>
    <w:rsid w:val="00805296"/>
    <w:rsid w:val="00832A7B"/>
    <w:rsid w:val="008409E2"/>
    <w:rsid w:val="00841437"/>
    <w:rsid w:val="00853357"/>
    <w:rsid w:val="00856195"/>
    <w:rsid w:val="00861151"/>
    <w:rsid w:val="00867BC7"/>
    <w:rsid w:val="00882017"/>
    <w:rsid w:val="008A6235"/>
    <w:rsid w:val="008A7D17"/>
    <w:rsid w:val="008B1348"/>
    <w:rsid w:val="008B35E6"/>
    <w:rsid w:val="008B67B5"/>
    <w:rsid w:val="008C0F39"/>
    <w:rsid w:val="008C3C89"/>
    <w:rsid w:val="008E63B6"/>
    <w:rsid w:val="008F252D"/>
    <w:rsid w:val="008F50F3"/>
    <w:rsid w:val="008F797E"/>
    <w:rsid w:val="009167EC"/>
    <w:rsid w:val="009256F6"/>
    <w:rsid w:val="0094208A"/>
    <w:rsid w:val="0094481D"/>
    <w:rsid w:val="00947515"/>
    <w:rsid w:val="00960A77"/>
    <w:rsid w:val="009716C1"/>
    <w:rsid w:val="00972094"/>
    <w:rsid w:val="0098720A"/>
    <w:rsid w:val="009913B3"/>
    <w:rsid w:val="009A3D5B"/>
    <w:rsid w:val="009A6690"/>
    <w:rsid w:val="009A7019"/>
    <w:rsid w:val="009C233A"/>
    <w:rsid w:val="009C7F30"/>
    <w:rsid w:val="00A03997"/>
    <w:rsid w:val="00A07C54"/>
    <w:rsid w:val="00A1608A"/>
    <w:rsid w:val="00A47E07"/>
    <w:rsid w:val="00A57E0C"/>
    <w:rsid w:val="00AC2BC8"/>
    <w:rsid w:val="00AF0D0A"/>
    <w:rsid w:val="00B113A0"/>
    <w:rsid w:val="00B158FF"/>
    <w:rsid w:val="00B23217"/>
    <w:rsid w:val="00B278CE"/>
    <w:rsid w:val="00B35CF8"/>
    <w:rsid w:val="00B47178"/>
    <w:rsid w:val="00B559D4"/>
    <w:rsid w:val="00B97944"/>
    <w:rsid w:val="00BA1646"/>
    <w:rsid w:val="00BA526E"/>
    <w:rsid w:val="00BC20D8"/>
    <w:rsid w:val="00BF1388"/>
    <w:rsid w:val="00BF29ED"/>
    <w:rsid w:val="00C13B31"/>
    <w:rsid w:val="00C15134"/>
    <w:rsid w:val="00C34007"/>
    <w:rsid w:val="00C43D2A"/>
    <w:rsid w:val="00C65F82"/>
    <w:rsid w:val="00C708FC"/>
    <w:rsid w:val="00C945F5"/>
    <w:rsid w:val="00CA340A"/>
    <w:rsid w:val="00CA41D4"/>
    <w:rsid w:val="00CA6B25"/>
    <w:rsid w:val="00CA7FE4"/>
    <w:rsid w:val="00CB2E28"/>
    <w:rsid w:val="00CC1049"/>
    <w:rsid w:val="00CE14A4"/>
    <w:rsid w:val="00CF71D8"/>
    <w:rsid w:val="00D060C4"/>
    <w:rsid w:val="00D1712E"/>
    <w:rsid w:val="00D22912"/>
    <w:rsid w:val="00D244FC"/>
    <w:rsid w:val="00D37279"/>
    <w:rsid w:val="00D66626"/>
    <w:rsid w:val="00D72BB3"/>
    <w:rsid w:val="00DD0216"/>
    <w:rsid w:val="00DD7803"/>
    <w:rsid w:val="00DE6AC7"/>
    <w:rsid w:val="00E01F5D"/>
    <w:rsid w:val="00E104DB"/>
    <w:rsid w:val="00E21300"/>
    <w:rsid w:val="00E25CF8"/>
    <w:rsid w:val="00E26CB6"/>
    <w:rsid w:val="00E331BE"/>
    <w:rsid w:val="00E3458A"/>
    <w:rsid w:val="00E35DEA"/>
    <w:rsid w:val="00E364E1"/>
    <w:rsid w:val="00E4481A"/>
    <w:rsid w:val="00E47973"/>
    <w:rsid w:val="00E727AB"/>
    <w:rsid w:val="00E7409D"/>
    <w:rsid w:val="00E74BB5"/>
    <w:rsid w:val="00E7594E"/>
    <w:rsid w:val="00E75B7F"/>
    <w:rsid w:val="00E81F5E"/>
    <w:rsid w:val="00E94D4D"/>
    <w:rsid w:val="00E97FD7"/>
    <w:rsid w:val="00EA38C1"/>
    <w:rsid w:val="00EA5C60"/>
    <w:rsid w:val="00EB0EEA"/>
    <w:rsid w:val="00EC24B9"/>
    <w:rsid w:val="00EE3716"/>
    <w:rsid w:val="00F12798"/>
    <w:rsid w:val="00F47D46"/>
    <w:rsid w:val="00F6345D"/>
    <w:rsid w:val="00F83C4A"/>
    <w:rsid w:val="00FD11CC"/>
    <w:rsid w:val="00FE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1F"/>
  </w:style>
  <w:style w:type="paragraph" w:styleId="Ttol1">
    <w:name w:val="heading 1"/>
    <w:basedOn w:val="Normal"/>
    <w:next w:val="Normal"/>
    <w:link w:val="Ttol1Car"/>
    <w:uiPriority w:val="9"/>
    <w:qFormat/>
    <w:rsid w:val="00E75B7F"/>
    <w:pPr>
      <w:spacing w:before="480" w:after="240"/>
      <w:jc w:val="both"/>
      <w:outlineLvl w:val="0"/>
    </w:pPr>
    <w:rPr>
      <w:rFonts w:ascii="Arial" w:hAnsi="Arial"/>
      <w:b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75B7F"/>
    <w:pPr>
      <w:spacing w:before="480" w:after="240"/>
      <w:outlineLvl w:val="1"/>
    </w:pPr>
    <w:rPr>
      <w:rFonts w:ascii="Arial" w:hAnsi="Arial"/>
      <w:b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E14A4"/>
    <w:pPr>
      <w:spacing w:before="480" w:after="240"/>
      <w:outlineLvl w:val="2"/>
    </w:pPr>
    <w:rPr>
      <w:rFonts w:ascii="Arial" w:hAnsi="Arial"/>
      <w:b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7E54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475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47515"/>
  </w:style>
  <w:style w:type="paragraph" w:styleId="Peu">
    <w:name w:val="footer"/>
    <w:basedOn w:val="Normal"/>
    <w:link w:val="PeuCar"/>
    <w:uiPriority w:val="99"/>
    <w:unhideWhenUsed/>
    <w:rsid w:val="0094751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47515"/>
  </w:style>
  <w:style w:type="paragraph" w:styleId="Textdeglobus">
    <w:name w:val="Balloon Text"/>
    <w:basedOn w:val="Normal"/>
    <w:link w:val="TextdeglobusCar"/>
    <w:uiPriority w:val="99"/>
    <w:semiHidden/>
    <w:unhideWhenUsed/>
    <w:rsid w:val="00947515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7515"/>
    <w:rPr>
      <w:rFonts w:ascii="Lucida Grande" w:hAnsi="Lucida Grande"/>
      <w:sz w:val="18"/>
      <w:szCs w:val="18"/>
    </w:rPr>
  </w:style>
  <w:style w:type="character" w:styleId="Nmerodepgina">
    <w:name w:val="page number"/>
    <w:basedOn w:val="Tipusdelletraperdefectedelpargraf"/>
    <w:uiPriority w:val="99"/>
    <w:semiHidden/>
    <w:unhideWhenUsed/>
    <w:rsid w:val="00D72BB3"/>
  </w:style>
  <w:style w:type="character" w:customStyle="1" w:styleId="Ttol1Car">
    <w:name w:val="Títol 1 Car"/>
    <w:basedOn w:val="Tipusdelletraperdefectedelpargraf"/>
    <w:link w:val="Ttol1"/>
    <w:uiPriority w:val="9"/>
    <w:rsid w:val="00E75B7F"/>
    <w:rPr>
      <w:rFonts w:ascii="Arial" w:hAnsi="Arial"/>
      <w:b/>
      <w:sz w:val="36"/>
      <w:szCs w:val="36"/>
    </w:rPr>
  </w:style>
  <w:style w:type="character" w:customStyle="1" w:styleId="Ttol2Car">
    <w:name w:val="Títol 2 Car"/>
    <w:basedOn w:val="Tipusdelletraperdefectedelpargraf"/>
    <w:link w:val="Ttol2"/>
    <w:uiPriority w:val="9"/>
    <w:rsid w:val="00E75B7F"/>
    <w:rPr>
      <w:rFonts w:ascii="Arial" w:hAnsi="Arial"/>
      <w:b/>
      <w:sz w:val="28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rsid w:val="00CE14A4"/>
    <w:rPr>
      <w:rFonts w:ascii="Arial" w:hAnsi="Arial"/>
      <w:b/>
    </w:rPr>
  </w:style>
  <w:style w:type="paragraph" w:styleId="Pargrafdellista">
    <w:name w:val="List Paragraph"/>
    <w:basedOn w:val="Normal"/>
    <w:uiPriority w:val="34"/>
    <w:qFormat/>
    <w:rsid w:val="00E75B7F"/>
    <w:pPr>
      <w:spacing w:after="180" w:line="300" w:lineRule="auto"/>
      <w:jc w:val="both"/>
    </w:pPr>
    <w:rPr>
      <w:rFonts w:ascii="Arial" w:hAnsi="Arial"/>
      <w:sz w:val="20"/>
      <w:szCs w:val="20"/>
    </w:rPr>
  </w:style>
  <w:style w:type="paragraph" w:styleId="Textdenotaapeudepgina">
    <w:name w:val="footnote text"/>
    <w:basedOn w:val="Normal"/>
    <w:link w:val="TextdenotaapeudepginaCar"/>
    <w:unhideWhenUsed/>
    <w:rsid w:val="00E75B7F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E75B7F"/>
    <w:rPr>
      <w:sz w:val="20"/>
      <w:szCs w:val="20"/>
    </w:rPr>
  </w:style>
  <w:style w:type="character" w:styleId="Refernciadenotaapeudepgina">
    <w:name w:val="footnote reference"/>
    <w:basedOn w:val="Tipusdelletraperdefectedelpargraf"/>
    <w:semiHidden/>
    <w:unhideWhenUsed/>
    <w:rsid w:val="00E75B7F"/>
    <w:rPr>
      <w:vertAlign w:val="superscript"/>
    </w:rPr>
  </w:style>
  <w:style w:type="table" w:styleId="Llistaclaramfasi6">
    <w:name w:val="Light List Accent 6"/>
    <w:basedOn w:val="Taulanormal"/>
    <w:uiPriority w:val="61"/>
    <w:rsid w:val="00E75B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toldelIDC">
    <w:name w:val="TOC Heading"/>
    <w:basedOn w:val="Ttol1"/>
    <w:next w:val="Normal"/>
    <w:uiPriority w:val="39"/>
    <w:semiHidden/>
    <w:unhideWhenUsed/>
    <w:qFormat/>
    <w:rsid w:val="00867BC7"/>
    <w:pPr>
      <w:keepNext/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IDC1">
    <w:name w:val="toc 1"/>
    <w:basedOn w:val="Normal"/>
    <w:next w:val="Normal"/>
    <w:autoRedefine/>
    <w:uiPriority w:val="39"/>
    <w:unhideWhenUsed/>
    <w:rsid w:val="007227C5"/>
    <w:pPr>
      <w:tabs>
        <w:tab w:val="right" w:leader="dot" w:pos="8488"/>
      </w:tabs>
      <w:spacing w:after="100"/>
      <w:ind w:left="284" w:hanging="284"/>
    </w:pPr>
    <w:rPr>
      <w:rFonts w:ascii="Arial" w:hAnsi="Arial" w:cs="Arial"/>
      <w:b/>
      <w:noProof/>
      <w:lang w:val="es-ES"/>
    </w:rPr>
  </w:style>
  <w:style w:type="paragraph" w:styleId="IDC2">
    <w:name w:val="toc 2"/>
    <w:basedOn w:val="Normal"/>
    <w:next w:val="Normal"/>
    <w:autoRedefine/>
    <w:uiPriority w:val="39"/>
    <w:unhideWhenUsed/>
    <w:rsid w:val="00867BC7"/>
    <w:pPr>
      <w:spacing w:after="100"/>
      <w:ind w:left="240"/>
    </w:pPr>
  </w:style>
  <w:style w:type="character" w:styleId="Enlla">
    <w:name w:val="Hyperlink"/>
    <w:basedOn w:val="Tipusdelletraperdefectedelpargraf"/>
    <w:uiPriority w:val="99"/>
    <w:unhideWhenUsed/>
    <w:rsid w:val="00867BC7"/>
    <w:rPr>
      <w:color w:val="0000FF" w:themeColor="hyperlink"/>
      <w:u w:val="single"/>
    </w:rPr>
  </w:style>
  <w:style w:type="table" w:styleId="Llistaclaramfasi1">
    <w:name w:val="Light List Accent 1"/>
    <w:basedOn w:val="Taulanormal"/>
    <w:uiPriority w:val="61"/>
    <w:rsid w:val="003A505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DC3">
    <w:name w:val="toc 3"/>
    <w:basedOn w:val="Normal"/>
    <w:next w:val="Normal"/>
    <w:autoRedefine/>
    <w:uiPriority w:val="39"/>
    <w:unhideWhenUsed/>
    <w:rsid w:val="007227C5"/>
    <w:pPr>
      <w:spacing w:after="100"/>
      <w:ind w:left="480"/>
    </w:pPr>
  </w:style>
  <w:style w:type="table" w:styleId="Taulaambquadrcula">
    <w:name w:val="Table Grid"/>
    <w:basedOn w:val="Taulanormal"/>
    <w:uiPriority w:val="59"/>
    <w:rsid w:val="001B2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visitat">
    <w:name w:val="FollowedHyperlink"/>
    <w:basedOn w:val="Tipusdelletraperdefectedelpargraf"/>
    <w:uiPriority w:val="99"/>
    <w:semiHidden/>
    <w:unhideWhenUsed/>
    <w:rsid w:val="007C5178"/>
    <w:rPr>
      <w:color w:val="800080" w:themeColor="followedHyperlink"/>
      <w:u w:val="single"/>
    </w:rPr>
  </w:style>
  <w:style w:type="character" w:customStyle="1" w:styleId="Ttol4Car">
    <w:name w:val="Títol 4 Car"/>
    <w:basedOn w:val="Tipusdelletraperdefectedelpargraf"/>
    <w:link w:val="Ttol4"/>
    <w:uiPriority w:val="9"/>
    <w:rsid w:val="007E54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3400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34007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3400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3400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340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5B7F"/>
    <w:pPr>
      <w:spacing w:before="480" w:after="240"/>
      <w:jc w:val="both"/>
      <w:outlineLvl w:val="0"/>
    </w:pPr>
    <w:rPr>
      <w:rFonts w:ascii="Arial" w:hAnsi="Arial"/>
      <w:b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5B7F"/>
    <w:pPr>
      <w:spacing w:before="480" w:after="240"/>
      <w:outlineLvl w:val="1"/>
    </w:pPr>
    <w:rPr>
      <w:rFonts w:ascii="Arial" w:hAnsi="Arial"/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14A4"/>
    <w:pPr>
      <w:spacing w:before="480" w:after="24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E54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515"/>
  </w:style>
  <w:style w:type="paragraph" w:styleId="Piedepgina">
    <w:name w:val="footer"/>
    <w:basedOn w:val="Normal"/>
    <w:link w:val="PiedepginaCar"/>
    <w:uiPriority w:val="99"/>
    <w:unhideWhenUsed/>
    <w:rsid w:val="00947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515"/>
  </w:style>
  <w:style w:type="paragraph" w:styleId="Textodeglobo">
    <w:name w:val="Balloon Text"/>
    <w:basedOn w:val="Normal"/>
    <w:link w:val="TextodegloboCar"/>
    <w:uiPriority w:val="99"/>
    <w:semiHidden/>
    <w:unhideWhenUsed/>
    <w:rsid w:val="009475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515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72BB3"/>
  </w:style>
  <w:style w:type="character" w:customStyle="1" w:styleId="Ttulo1Car">
    <w:name w:val="Título 1 Car"/>
    <w:basedOn w:val="Fuentedeprrafopredeter"/>
    <w:link w:val="Ttulo1"/>
    <w:uiPriority w:val="9"/>
    <w:rsid w:val="00E75B7F"/>
    <w:rPr>
      <w:rFonts w:ascii="Arial" w:hAnsi="Arial"/>
      <w:b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E75B7F"/>
    <w:rPr>
      <w:rFonts w:ascii="Arial" w:hAnsi="Arial"/>
      <w:b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E14A4"/>
    <w:rPr>
      <w:rFonts w:ascii="Arial" w:hAnsi="Arial"/>
      <w:b/>
    </w:rPr>
  </w:style>
  <w:style w:type="paragraph" w:styleId="Prrafodelista">
    <w:name w:val="List Paragraph"/>
    <w:basedOn w:val="Normal"/>
    <w:uiPriority w:val="34"/>
    <w:qFormat/>
    <w:rsid w:val="00E75B7F"/>
    <w:pPr>
      <w:spacing w:after="180" w:line="300" w:lineRule="auto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E75B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B7F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75B7F"/>
    <w:rPr>
      <w:vertAlign w:val="superscript"/>
    </w:rPr>
  </w:style>
  <w:style w:type="table" w:styleId="Listaclara-nfasis6">
    <w:name w:val="Light List Accent 6"/>
    <w:basedOn w:val="Tablanormal"/>
    <w:uiPriority w:val="61"/>
    <w:rsid w:val="00E75B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67BC7"/>
    <w:pPr>
      <w:keepNext/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227C5"/>
    <w:pPr>
      <w:tabs>
        <w:tab w:val="right" w:leader="dot" w:pos="8488"/>
      </w:tabs>
      <w:spacing w:after="100"/>
      <w:ind w:left="284" w:hanging="284"/>
    </w:pPr>
    <w:rPr>
      <w:rFonts w:ascii="Arial" w:hAnsi="Arial" w:cs="Arial"/>
      <w:b/>
      <w:noProof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67BC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867BC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3A5055"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7227C5"/>
    <w:pPr>
      <w:spacing w:after="100"/>
      <w:ind w:left="480"/>
    </w:pPr>
  </w:style>
  <w:style w:type="table" w:styleId="Tablaconcuadrcula">
    <w:name w:val="Table Grid"/>
    <w:basedOn w:val="Tablanormal"/>
    <w:uiPriority w:val="59"/>
    <w:rsid w:val="001B2B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C517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4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C340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0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0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0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0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cheros\datos\DEPARTA\ACCION%20SOCIAL\ESTUDIOS\FOESSA\Informes\VII%20Informe%20FOESSA\Informes%20auton&#243;micos\Resultados_CCAA\7.%20Baleares\Cap&#237;tulo%201_Baleares_Espa&#241;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cheros\datos\DEPARTA\ACCION%20SOCIAL\ESTUDIOS\FOESSA\Informes\VII%20Informe%20FOESSA\Informes%20auton&#243;micos\Resultados_CCAA\7.%20Baleares\Cap&#237;tulo%202_Baleares_Espa&#241;a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flores.ssgg\Desktop\VII%20INFORME%20FOESSA\Informes%20auton&#243;micos\Resultados_CCAA\7.%20Baleares\Cap&#237;tulo%202_Baleares_Espa&#241;a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cheros\datos\DEPARTA\ACCION%20SOCIAL\ESTUDIOS\FOESSA\Informes\VII%20Informe%20FOESSA\Informes%20auton&#243;micos\Resultados_CCAA\7.%20Baleares\Cap&#237;tulo%204_Baleares_Espa&#241;a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cheros\datos\DEPARTA\ACCION%20SOCIAL\ESTUDIOS\FOESSA\Informes\VII%20Informe%20FOESSA\Informes%20auton&#243;micos\Resultados_CCAA\7.%20Baleares\Cap&#237;tulo%205_Baleares_Espa&#241;a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cheros\datos\DEPARTA\ACCION%20SOCIAL\ESTUDIOS\FOESSA\Informes\VII%20Informe%20FOESSA\Informes%20auton&#243;micos\Resultados_CCAA\7.%20Baleares\Cap&#237;tulo%201_Baleares_Espa&#241;a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flores.ssgg\Desktop\VII%20INFORME%20FOESSA\Informes%20auton&#243;micos\Resultados_CCAA\7.%20Baleares\Cap&#237;tulo%205_Baleares_Espa&#241;a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flores.ssgg\Desktop\VII%20INFORME%20FOESSA\Informes%20auton&#243;micos\Resultados_CCAA\7.%20Baleares\Cap&#237;tulo%206_Baleares_Espa&#241;a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flores.ssgg\Desktop\VII%20INFORME%20FOESSA\Informes%20auton&#243;micos\Resultados_CCAA\7.%20Baleares\Cap&#237;tulo%206_Baleares_Espa&#241;a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'PIB Y AROPE'!$C$1</c:f>
              <c:strCache>
                <c:ptCount val="1"/>
                <c:pt idx="0">
                  <c:v>Tasa AROPE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7"/>
            <c:marker>
              <c:spPr>
                <a:solidFill>
                  <a:srgbClr val="C00000"/>
                </a:solidFill>
                <a:ln>
                  <a:noFill/>
                </a:ln>
              </c:spPr>
            </c:marker>
          </c:dPt>
          <c:trendline>
            <c:trendlineType val="linear"/>
            <c:dispRSqr val="1"/>
            <c:dispEq val="1"/>
            <c:trendlineLbl>
              <c:layout>
                <c:manualLayout>
                  <c:x val="-0.51711657917760145"/>
                  <c:y val="9.1963764946048465E-2"/>
                </c:manualLayout>
              </c:layout>
              <c:numFmt formatCode="General" sourceLinked="0"/>
            </c:trendlineLbl>
          </c:trendline>
          <c:xVal>
            <c:numRef>
              <c:f>'PIB Y AROPE'!$B$2:$B$21</c:f>
              <c:numCache>
                <c:formatCode>#,##0</c:formatCode>
                <c:ptCount val="20"/>
                <c:pt idx="0">
                  <c:v>22279</c:v>
                </c:pt>
                <c:pt idx="1">
                  <c:v>29959</c:v>
                </c:pt>
                <c:pt idx="2">
                  <c:v>28915</c:v>
                </c:pt>
                <c:pt idx="3">
                  <c:v>28358</c:v>
                </c:pt>
                <c:pt idx="4">
                  <c:v>26666</c:v>
                </c:pt>
                <c:pt idx="5">
                  <c:v>25277</c:v>
                </c:pt>
                <c:pt idx="6">
                  <c:v>24732</c:v>
                </c:pt>
                <c:pt idx="7">
                  <c:v>23446</c:v>
                </c:pt>
                <c:pt idx="8">
                  <c:v>21879</c:v>
                </c:pt>
                <c:pt idx="9">
                  <c:v>21550</c:v>
                </c:pt>
                <c:pt idx="10">
                  <c:v>20591</c:v>
                </c:pt>
                <c:pt idx="11">
                  <c:v>20399</c:v>
                </c:pt>
                <c:pt idx="12">
                  <c:v>19502</c:v>
                </c:pt>
                <c:pt idx="13">
                  <c:v>18873</c:v>
                </c:pt>
                <c:pt idx="14">
                  <c:v>18771</c:v>
                </c:pt>
                <c:pt idx="15">
                  <c:v>17901</c:v>
                </c:pt>
                <c:pt idx="16">
                  <c:v>17780</c:v>
                </c:pt>
                <c:pt idx="17">
                  <c:v>16666</c:v>
                </c:pt>
                <c:pt idx="18">
                  <c:v>16426</c:v>
                </c:pt>
                <c:pt idx="19">
                  <c:v>15026</c:v>
                </c:pt>
              </c:numCache>
            </c:numRef>
          </c:xVal>
          <c:yVal>
            <c:numRef>
              <c:f>'PIB Y AROPE'!$C$2:$C$21</c:f>
              <c:numCache>
                <c:formatCode>0.0%</c:formatCode>
                <c:ptCount val="20"/>
                <c:pt idx="0">
                  <c:v>0.27300000000000002</c:v>
                </c:pt>
                <c:pt idx="1">
                  <c:v>0.1680000000000002</c:v>
                </c:pt>
                <c:pt idx="2">
                  <c:v>0.20100000000000001</c:v>
                </c:pt>
                <c:pt idx="3">
                  <c:v>0.14500000000000018</c:v>
                </c:pt>
                <c:pt idx="4">
                  <c:v>0.20100000000000001</c:v>
                </c:pt>
                <c:pt idx="5">
                  <c:v>0.22200000000000011</c:v>
                </c:pt>
                <c:pt idx="6">
                  <c:v>0.19800000000000015</c:v>
                </c:pt>
                <c:pt idx="7">
                  <c:v>0.27800000000000002</c:v>
                </c:pt>
                <c:pt idx="8">
                  <c:v>0.20800000000000018</c:v>
                </c:pt>
                <c:pt idx="9">
                  <c:v>0.253</c:v>
                </c:pt>
                <c:pt idx="10">
                  <c:v>0.21800000000000022</c:v>
                </c:pt>
                <c:pt idx="11">
                  <c:v>0.24300000000000019</c:v>
                </c:pt>
                <c:pt idx="12">
                  <c:v>0.31700000000000045</c:v>
                </c:pt>
                <c:pt idx="13">
                  <c:v>0.35500000000000032</c:v>
                </c:pt>
                <c:pt idx="14">
                  <c:v>0.47000000000000008</c:v>
                </c:pt>
                <c:pt idx="15">
                  <c:v>0.34100000000000041</c:v>
                </c:pt>
                <c:pt idx="16">
                  <c:v>0.36700000000000038</c:v>
                </c:pt>
                <c:pt idx="17">
                  <c:v>0.38300000000000045</c:v>
                </c:pt>
                <c:pt idx="18">
                  <c:v>0.31400000000000039</c:v>
                </c:pt>
                <c:pt idx="19">
                  <c:v>0.36100000000000032</c:v>
                </c:pt>
              </c:numCache>
            </c:numRef>
          </c:yVal>
        </c:ser>
        <c:axId val="113590656"/>
        <c:axId val="113592192"/>
      </c:scatterChart>
      <c:valAx>
        <c:axId val="113590656"/>
        <c:scaling>
          <c:orientation val="minMax"/>
          <c:max val="30000"/>
          <c:min val="14000"/>
        </c:scaling>
        <c:axPos val="b"/>
        <c:numFmt formatCode="#,##0" sourceLinked="1"/>
        <c:tickLblPos val="nextTo"/>
        <c:crossAx val="113592192"/>
        <c:crosses val="autoZero"/>
        <c:crossBetween val="midCat"/>
      </c:valAx>
      <c:valAx>
        <c:axId val="113592192"/>
        <c:scaling>
          <c:orientation val="minMax"/>
        </c:scaling>
        <c:axPos val="l"/>
        <c:majorGridlines/>
        <c:numFmt formatCode="0%" sourceLinked="0"/>
        <c:tickLblPos val="nextTo"/>
        <c:crossAx val="113590656"/>
        <c:crosses val="autoZero"/>
        <c:crossBetween val="midCat"/>
      </c:valAx>
    </c:plotArea>
    <c:plotVisOnly val="1"/>
    <c:dispBlanksAs val="gap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'Nivel Integración Social'!$B$4</c:f>
              <c:strCache>
                <c:ptCount val="1"/>
                <c:pt idx="0">
                  <c:v>Exclusión severa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3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dLbl>
              <c:idx val="8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showVal val="1"/>
          </c:dLbls>
          <c:cat>
            <c:multiLvlStrRef>
              <c:f>'Nivel Integración Social'!$C$2:$K$3</c:f>
              <c:multiLvlStrCache>
                <c:ptCount val="9"/>
                <c:lvl>
                  <c:pt idx="0">
                    <c:v>España 2007</c:v>
                  </c:pt>
                  <c:pt idx="1">
                    <c:v>España 2009</c:v>
                  </c:pt>
                  <c:pt idx="2">
                    <c:v>España 2013</c:v>
                  </c:pt>
                  <c:pt idx="3">
                    <c:v>Baleares 2013</c:v>
                  </c:pt>
                  <c:pt idx="5">
                    <c:v>España 2007</c:v>
                  </c:pt>
                  <c:pt idx="6">
                    <c:v>España 2009</c:v>
                  </c:pt>
                  <c:pt idx="7">
                    <c:v>España 2013</c:v>
                  </c:pt>
                  <c:pt idx="8">
                    <c:v>Baleares 2013</c:v>
                  </c:pt>
                </c:lvl>
                <c:lvl>
                  <c:pt idx="0">
                    <c:v>HOGARES</c:v>
                  </c:pt>
                  <c:pt idx="5">
                    <c:v>PERSONAS</c:v>
                  </c:pt>
                </c:lvl>
              </c:multiLvlStrCache>
            </c:multiLvlStrRef>
          </c:cat>
          <c:val>
            <c:numRef>
              <c:f>'Nivel Integración Social'!$C$4:$K$4</c:f>
              <c:numCache>
                <c:formatCode>0.0</c:formatCode>
                <c:ptCount val="9"/>
                <c:pt idx="0">
                  <c:v>5.6</c:v>
                </c:pt>
                <c:pt idx="1">
                  <c:v>6.7</c:v>
                </c:pt>
                <c:pt idx="2">
                  <c:v>8.8000000000000007</c:v>
                </c:pt>
                <c:pt idx="3">
                  <c:v>9.7222222222222214</c:v>
                </c:pt>
                <c:pt idx="5">
                  <c:v>6.3</c:v>
                </c:pt>
                <c:pt idx="6">
                  <c:v>7.5</c:v>
                </c:pt>
                <c:pt idx="7">
                  <c:v>10.9</c:v>
                </c:pt>
                <c:pt idx="8">
                  <c:v>11.68141592920354</c:v>
                </c:pt>
              </c:numCache>
            </c:numRef>
          </c:val>
        </c:ser>
        <c:ser>
          <c:idx val="1"/>
          <c:order val="1"/>
          <c:tx>
            <c:strRef>
              <c:f>'Nivel Integración Social'!$B$5</c:f>
              <c:strCache>
                <c:ptCount val="1"/>
                <c:pt idx="0">
                  <c:v>Exclusión moderada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3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dLbl>
              <c:idx val="8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showVal val="1"/>
          </c:dLbls>
          <c:cat>
            <c:multiLvlStrRef>
              <c:f>'Nivel Integración Social'!$C$2:$K$3</c:f>
              <c:multiLvlStrCache>
                <c:ptCount val="9"/>
                <c:lvl>
                  <c:pt idx="0">
                    <c:v>España 2007</c:v>
                  </c:pt>
                  <c:pt idx="1">
                    <c:v>España 2009</c:v>
                  </c:pt>
                  <c:pt idx="2">
                    <c:v>España 2013</c:v>
                  </c:pt>
                  <c:pt idx="3">
                    <c:v>Baleares 2013</c:v>
                  </c:pt>
                  <c:pt idx="5">
                    <c:v>España 2007</c:v>
                  </c:pt>
                  <c:pt idx="6">
                    <c:v>España 2009</c:v>
                  </c:pt>
                  <c:pt idx="7">
                    <c:v>España 2013</c:v>
                  </c:pt>
                  <c:pt idx="8">
                    <c:v>Baleares 2013</c:v>
                  </c:pt>
                </c:lvl>
                <c:lvl>
                  <c:pt idx="0">
                    <c:v>HOGARES</c:v>
                  </c:pt>
                  <c:pt idx="5">
                    <c:v>PERSONAS</c:v>
                  </c:pt>
                </c:lvl>
              </c:multiLvlStrCache>
            </c:multiLvlStrRef>
          </c:cat>
          <c:val>
            <c:numRef>
              <c:f>'Nivel Integración Social'!$C$5:$K$5</c:f>
              <c:numCache>
                <c:formatCode>0.0</c:formatCode>
                <c:ptCount val="9"/>
                <c:pt idx="0">
                  <c:v>10.200000000000001</c:v>
                </c:pt>
                <c:pt idx="1">
                  <c:v>10.6</c:v>
                </c:pt>
                <c:pt idx="2">
                  <c:v>13.1</c:v>
                </c:pt>
                <c:pt idx="3">
                  <c:v>17.592592592592567</c:v>
                </c:pt>
                <c:pt idx="5">
                  <c:v>10</c:v>
                </c:pt>
                <c:pt idx="6">
                  <c:v>11.2</c:v>
                </c:pt>
                <c:pt idx="7">
                  <c:v>14.2</c:v>
                </c:pt>
                <c:pt idx="8">
                  <c:v>15.752212389380531</c:v>
                </c:pt>
              </c:numCache>
            </c:numRef>
          </c:val>
        </c:ser>
        <c:ser>
          <c:idx val="2"/>
          <c:order val="2"/>
          <c:tx>
            <c:strRef>
              <c:f>'Nivel Integración Social'!$B$6</c:f>
              <c:strCache>
                <c:ptCount val="1"/>
                <c:pt idx="0">
                  <c:v>Integracion precaria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3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dLbl>
              <c:idx val="8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showVal val="1"/>
          </c:dLbls>
          <c:cat>
            <c:multiLvlStrRef>
              <c:f>'Nivel Integración Social'!$C$2:$K$3</c:f>
              <c:multiLvlStrCache>
                <c:ptCount val="9"/>
                <c:lvl>
                  <c:pt idx="0">
                    <c:v>España 2007</c:v>
                  </c:pt>
                  <c:pt idx="1">
                    <c:v>España 2009</c:v>
                  </c:pt>
                  <c:pt idx="2">
                    <c:v>España 2013</c:v>
                  </c:pt>
                  <c:pt idx="3">
                    <c:v>Baleares 2013</c:v>
                  </c:pt>
                  <c:pt idx="5">
                    <c:v>España 2007</c:v>
                  </c:pt>
                  <c:pt idx="6">
                    <c:v>España 2009</c:v>
                  </c:pt>
                  <c:pt idx="7">
                    <c:v>España 2013</c:v>
                  </c:pt>
                  <c:pt idx="8">
                    <c:v>Baleares 2013</c:v>
                  </c:pt>
                </c:lvl>
                <c:lvl>
                  <c:pt idx="0">
                    <c:v>HOGARES</c:v>
                  </c:pt>
                  <c:pt idx="5">
                    <c:v>PERSONAS</c:v>
                  </c:pt>
                </c:lvl>
              </c:multiLvlStrCache>
            </c:multiLvlStrRef>
          </c:cat>
          <c:val>
            <c:numRef>
              <c:f>'Nivel Integración Social'!$C$6:$K$6</c:f>
              <c:numCache>
                <c:formatCode>0.0</c:formatCode>
                <c:ptCount val="9"/>
                <c:pt idx="0">
                  <c:v>36.9</c:v>
                </c:pt>
                <c:pt idx="1">
                  <c:v>39.300000000000004</c:v>
                </c:pt>
                <c:pt idx="2">
                  <c:v>41.2</c:v>
                </c:pt>
                <c:pt idx="3">
                  <c:v>42.592592592592602</c:v>
                </c:pt>
                <c:pt idx="5">
                  <c:v>33.6</c:v>
                </c:pt>
                <c:pt idx="6">
                  <c:v>39.700000000000003</c:v>
                </c:pt>
                <c:pt idx="7">
                  <c:v>40.6</c:v>
                </c:pt>
                <c:pt idx="8">
                  <c:v>41.946902654867245</c:v>
                </c:pt>
              </c:numCache>
            </c:numRef>
          </c:val>
        </c:ser>
        <c:ser>
          <c:idx val="3"/>
          <c:order val="3"/>
          <c:tx>
            <c:strRef>
              <c:f>'Nivel Integración Social'!$B$7</c:f>
              <c:strCache>
                <c:ptCount val="1"/>
                <c:pt idx="0">
                  <c:v>Integración plena 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dLbl>
              <c:idx val="3"/>
              <c:spPr/>
              <c:txPr>
                <a:bodyPr/>
                <a:lstStyle/>
                <a:p>
                  <a:pPr>
                    <a:defRPr b="1"/>
                  </a:pPr>
                  <a:endParaRPr lang="es-ES"/>
                </a:p>
              </c:txPr>
            </c:dLbl>
            <c:dLbl>
              <c:idx val="8"/>
              <c:spPr/>
              <c:txPr>
                <a:bodyPr/>
                <a:lstStyle/>
                <a:p>
                  <a:pPr>
                    <a:defRPr b="1" i="0"/>
                  </a:pPr>
                  <a:endParaRPr lang="es-ES"/>
                </a:p>
              </c:txPr>
            </c:dLbl>
            <c:showVal val="1"/>
          </c:dLbls>
          <c:cat>
            <c:multiLvlStrRef>
              <c:f>'Nivel Integración Social'!$C$2:$K$3</c:f>
              <c:multiLvlStrCache>
                <c:ptCount val="9"/>
                <c:lvl>
                  <c:pt idx="0">
                    <c:v>España 2007</c:v>
                  </c:pt>
                  <c:pt idx="1">
                    <c:v>España 2009</c:v>
                  </c:pt>
                  <c:pt idx="2">
                    <c:v>España 2013</c:v>
                  </c:pt>
                  <c:pt idx="3">
                    <c:v>Baleares 2013</c:v>
                  </c:pt>
                  <c:pt idx="5">
                    <c:v>España 2007</c:v>
                  </c:pt>
                  <c:pt idx="6">
                    <c:v>España 2009</c:v>
                  </c:pt>
                  <c:pt idx="7">
                    <c:v>España 2013</c:v>
                  </c:pt>
                  <c:pt idx="8">
                    <c:v>Baleares 2013</c:v>
                  </c:pt>
                </c:lvl>
                <c:lvl>
                  <c:pt idx="0">
                    <c:v>HOGARES</c:v>
                  </c:pt>
                  <c:pt idx="5">
                    <c:v>PERSONAS</c:v>
                  </c:pt>
                </c:lvl>
              </c:multiLvlStrCache>
            </c:multiLvlStrRef>
          </c:cat>
          <c:val>
            <c:numRef>
              <c:f>'Nivel Integración Social'!$C$7:$K$7</c:f>
              <c:numCache>
                <c:formatCode>0.0</c:formatCode>
                <c:ptCount val="9"/>
                <c:pt idx="0">
                  <c:v>47.3</c:v>
                </c:pt>
                <c:pt idx="1">
                  <c:v>43.4</c:v>
                </c:pt>
                <c:pt idx="2">
                  <c:v>36.9</c:v>
                </c:pt>
                <c:pt idx="3">
                  <c:v>30.092592592592567</c:v>
                </c:pt>
                <c:pt idx="5">
                  <c:v>50.1</c:v>
                </c:pt>
                <c:pt idx="6">
                  <c:v>41.6</c:v>
                </c:pt>
                <c:pt idx="7">
                  <c:v>34.300000000000004</c:v>
                </c:pt>
                <c:pt idx="8">
                  <c:v>30.619469026548707</c:v>
                </c:pt>
              </c:numCache>
            </c:numRef>
          </c:val>
        </c:ser>
        <c:overlap val="100"/>
        <c:axId val="113373568"/>
        <c:axId val="113375104"/>
      </c:barChart>
      <c:catAx>
        <c:axId val="113373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es-ES"/>
          </a:p>
        </c:txPr>
        <c:crossAx val="113375104"/>
        <c:crosses val="autoZero"/>
        <c:auto val="1"/>
        <c:lblAlgn val="ctr"/>
        <c:lblOffset val="100"/>
      </c:catAx>
      <c:valAx>
        <c:axId val="113375104"/>
        <c:scaling>
          <c:orientation val="minMax"/>
          <c:max val="100"/>
        </c:scaling>
        <c:delete val="1"/>
        <c:axPos val="l"/>
        <c:numFmt formatCode="0.0" sourceLinked="1"/>
        <c:tickLblPos val="none"/>
        <c:crossAx val="113373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2090332458442678E-2"/>
          <c:y val="0.91362543134999596"/>
          <c:w val="0.96193044619422574"/>
          <c:h val="5.8596852674648078E-2"/>
        </c:manualLayout>
      </c:layout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'Dimensiones Exclusión'!$P$17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2"/>
              <c:layout>
                <c:manualLayout>
                  <c:x val="-5.5555555555555558E-3"/>
                  <c:y val="4.6296296296296372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1.3888888888888914E-2"/>
                </c:manualLayout>
              </c:layout>
              <c:showVal val="1"/>
            </c:dLbl>
            <c:showVal val="1"/>
          </c:dLbls>
          <c:cat>
            <c:strRef>
              <c:f>'Dimensiones Exclusión'!$O$18:$O$25</c:f>
              <c:strCache>
                <c:ptCount val="8"/>
                <c:pt idx="0">
                  <c:v>Exclusión del empleo</c:v>
                </c:pt>
                <c:pt idx="1">
                  <c:v>Exclusión política</c:v>
                </c:pt>
                <c:pt idx="2">
                  <c:v>Exclusión de la vivienda</c:v>
                </c:pt>
                <c:pt idx="3">
                  <c:v>Exclusión de la salud</c:v>
                </c:pt>
                <c:pt idx="4">
                  <c:v>Exclusión de la educación</c:v>
                </c:pt>
                <c:pt idx="5">
                  <c:v>Exclusión del consumo</c:v>
                </c:pt>
                <c:pt idx="6">
                  <c:v>Aislamiento social</c:v>
                </c:pt>
                <c:pt idx="7">
                  <c:v>Conflicto social </c:v>
                </c:pt>
              </c:strCache>
            </c:strRef>
          </c:cat>
          <c:val>
            <c:numRef>
              <c:f>'Dimensiones Exclusión'!$P$18:$P$25</c:f>
              <c:numCache>
                <c:formatCode>0.0</c:formatCode>
                <c:ptCount val="8"/>
                <c:pt idx="0">
                  <c:v>41.5</c:v>
                </c:pt>
                <c:pt idx="1">
                  <c:v>13.9</c:v>
                </c:pt>
                <c:pt idx="2">
                  <c:v>29.2</c:v>
                </c:pt>
                <c:pt idx="3">
                  <c:v>19.8</c:v>
                </c:pt>
                <c:pt idx="4">
                  <c:v>8.6</c:v>
                </c:pt>
                <c:pt idx="5">
                  <c:v>7.3</c:v>
                </c:pt>
                <c:pt idx="6">
                  <c:v>2.7</c:v>
                </c:pt>
                <c:pt idx="7">
                  <c:v>6.2</c:v>
                </c:pt>
              </c:numCache>
            </c:numRef>
          </c:val>
        </c:ser>
        <c:ser>
          <c:idx val="1"/>
          <c:order val="1"/>
          <c:tx>
            <c:strRef>
              <c:f>'Dimensiones Exclusión'!$Q$17</c:f>
              <c:strCache>
                <c:ptCount val="1"/>
                <c:pt idx="0">
                  <c:v>Islas Baleares</c:v>
                </c:pt>
              </c:strCache>
            </c:strRef>
          </c:tx>
          <c:spPr>
            <a:solidFill>
              <a:schemeClr val="accent4"/>
            </a:solidFill>
          </c:spPr>
          <c:dLbls>
            <c:dLbl>
              <c:idx val="0"/>
              <c:layout>
                <c:manualLayout>
                  <c:x val="-8.3333333333333367E-3"/>
                  <c:y val="-9.2592592592593732E-3"/>
                </c:manualLayout>
              </c:layout>
              <c:showVal val="1"/>
            </c:dLbl>
            <c:dLbl>
              <c:idx val="1"/>
              <c:layout>
                <c:manualLayout>
                  <c:x val="-2.7777777777777367E-3"/>
                  <c:y val="-9.2592592592592865E-3"/>
                </c:manualLayout>
              </c:layout>
              <c:showVal val="1"/>
            </c:dLbl>
            <c:dLbl>
              <c:idx val="2"/>
              <c:layout>
                <c:manualLayout>
                  <c:x val="-5.0925337632080255E-17"/>
                  <c:y val="-9.2592592592593732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3888888888888914E-2"/>
                </c:manualLayout>
              </c:layout>
              <c:showVal val="1"/>
            </c:dLbl>
            <c:dLbl>
              <c:idx val="4"/>
              <c:layout>
                <c:manualLayout>
                  <c:x val="-8.3333333333333367E-3"/>
                  <c:y val="-1.388888888888891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9.2592592592592865E-3"/>
                </c:manualLayout>
              </c:layout>
              <c:showVal val="1"/>
            </c:dLbl>
            <c:dLbl>
              <c:idx val="6"/>
              <c:layout>
                <c:manualLayout>
                  <c:x val="-1.0185067526416052E-16"/>
                  <c:y val="-1.3888888888888892E-2"/>
                </c:manualLayout>
              </c:layout>
              <c:showVal val="1"/>
            </c:dLbl>
            <c:dLbl>
              <c:idx val="7"/>
              <c:layout>
                <c:manualLayout>
                  <c:x val="-5.5555555555555558E-3"/>
                  <c:y val="-1.388888888888892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Val val="1"/>
          </c:dLbls>
          <c:cat>
            <c:strRef>
              <c:f>'Dimensiones Exclusión'!$O$18:$O$25</c:f>
              <c:strCache>
                <c:ptCount val="8"/>
                <c:pt idx="0">
                  <c:v>Exclusión del empleo</c:v>
                </c:pt>
                <c:pt idx="1">
                  <c:v>Exclusión política</c:v>
                </c:pt>
                <c:pt idx="2">
                  <c:v>Exclusión de la vivienda</c:v>
                </c:pt>
                <c:pt idx="3">
                  <c:v>Exclusión de la salud</c:v>
                </c:pt>
                <c:pt idx="4">
                  <c:v>Exclusión de la educación</c:v>
                </c:pt>
                <c:pt idx="5">
                  <c:v>Exclusión del consumo</c:v>
                </c:pt>
                <c:pt idx="6">
                  <c:v>Aislamiento social</c:v>
                </c:pt>
                <c:pt idx="7">
                  <c:v>Conflicto social </c:v>
                </c:pt>
              </c:strCache>
            </c:strRef>
          </c:cat>
          <c:val>
            <c:numRef>
              <c:f>'Dimensiones Exclusión'!$Q$18:$Q$25</c:f>
              <c:numCache>
                <c:formatCode>0.0</c:formatCode>
                <c:ptCount val="8"/>
                <c:pt idx="0">
                  <c:v>40.884955752212278</c:v>
                </c:pt>
                <c:pt idx="1">
                  <c:v>29.328621908127168</c:v>
                </c:pt>
                <c:pt idx="2">
                  <c:v>26.325088339222614</c:v>
                </c:pt>
                <c:pt idx="3">
                  <c:v>17.667844522968199</c:v>
                </c:pt>
                <c:pt idx="4">
                  <c:v>8.8495575221239058</c:v>
                </c:pt>
                <c:pt idx="5">
                  <c:v>8.3038869257950658</c:v>
                </c:pt>
                <c:pt idx="6">
                  <c:v>5.6637168141592831</c:v>
                </c:pt>
                <c:pt idx="7">
                  <c:v>5.1236749116607765</c:v>
                </c:pt>
              </c:numCache>
            </c:numRef>
          </c:val>
        </c:ser>
        <c:axId val="114317568"/>
        <c:axId val="114323456"/>
      </c:barChart>
      <c:catAx>
        <c:axId val="114317568"/>
        <c:scaling>
          <c:orientation val="maxMin"/>
        </c:scaling>
        <c:axPos val="l"/>
        <c:tickLblPos val="nextTo"/>
        <c:crossAx val="114323456"/>
        <c:crosses val="autoZero"/>
        <c:auto val="1"/>
        <c:lblAlgn val="ctr"/>
        <c:lblOffset val="100"/>
      </c:catAx>
      <c:valAx>
        <c:axId val="114323456"/>
        <c:scaling>
          <c:orientation val="minMax"/>
        </c:scaling>
        <c:delete val="1"/>
        <c:axPos val="t"/>
        <c:numFmt formatCode="0.0" sourceLinked="1"/>
        <c:tickLblPos val="none"/>
        <c:crossAx val="11431756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'Estudios-Empleo'!$C$1</c:f>
              <c:strCache>
                <c:ptCount val="1"/>
                <c:pt idx="0">
                  <c:v>Baleares</c:v>
                </c:pt>
              </c:strCache>
            </c:strRef>
          </c:tx>
          <c:spPr>
            <a:solidFill>
              <a:schemeClr val="accent4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dLblPos val="outEnd"/>
            <c:showVal val="1"/>
          </c:dLbls>
          <c:cat>
            <c:strRef>
              <c:f>'Estudios-Empleo'!$B$3:$B$6</c:f>
              <c:strCache>
                <c:ptCount val="4"/>
                <c:pt idx="0">
                  <c:v>Sin estudios obligatorios</c:v>
                </c:pt>
                <c:pt idx="1">
                  <c:v>Secundaria obligatoria</c:v>
                </c:pt>
                <c:pt idx="2">
                  <c:v>FP, Bachiller</c:v>
                </c:pt>
                <c:pt idx="3">
                  <c:v>Universitarios </c:v>
                </c:pt>
              </c:strCache>
            </c:strRef>
          </c:cat>
          <c:val>
            <c:numRef>
              <c:f>'Estudios-Empleo'!$C$3:$C$6</c:f>
              <c:numCache>
                <c:formatCode>0.0</c:formatCode>
                <c:ptCount val="4"/>
                <c:pt idx="0">
                  <c:v>40.16736401673635</c:v>
                </c:pt>
                <c:pt idx="1">
                  <c:v>40.157480314960594</c:v>
                </c:pt>
                <c:pt idx="2">
                  <c:v>55.384615384615344</c:v>
                </c:pt>
                <c:pt idx="3">
                  <c:v>74.390243902439011</c:v>
                </c:pt>
              </c:numCache>
            </c:numRef>
          </c:val>
        </c:ser>
        <c:ser>
          <c:idx val="1"/>
          <c:order val="1"/>
          <c:tx>
            <c:strRef>
              <c:f>'Estudios-Empleo'!$D$1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strRef>
              <c:f>'Estudios-Empleo'!$B$3:$B$6</c:f>
              <c:strCache>
                <c:ptCount val="4"/>
                <c:pt idx="0">
                  <c:v>Sin estudios obligatorios</c:v>
                </c:pt>
                <c:pt idx="1">
                  <c:v>Secundaria obligatoria</c:v>
                </c:pt>
                <c:pt idx="2">
                  <c:v>FP, Bachiller</c:v>
                </c:pt>
                <c:pt idx="3">
                  <c:v>Universitarios </c:v>
                </c:pt>
              </c:strCache>
            </c:strRef>
          </c:cat>
          <c:val>
            <c:numRef>
              <c:f>'Estudios-Empleo'!$D$3:$D$6</c:f>
              <c:numCache>
                <c:formatCode>0.0</c:formatCode>
                <c:ptCount val="4"/>
                <c:pt idx="0">
                  <c:v>23.8</c:v>
                </c:pt>
                <c:pt idx="1">
                  <c:v>34.300000000000004</c:v>
                </c:pt>
                <c:pt idx="2">
                  <c:v>47</c:v>
                </c:pt>
                <c:pt idx="3">
                  <c:v>60.6</c:v>
                </c:pt>
              </c:numCache>
            </c:numRef>
          </c:val>
        </c:ser>
        <c:dLbls>
          <c:showVal val="1"/>
        </c:dLbls>
        <c:axId val="114431488"/>
        <c:axId val="114433024"/>
      </c:barChart>
      <c:catAx>
        <c:axId val="114431488"/>
        <c:scaling>
          <c:orientation val="maxMin"/>
        </c:scaling>
        <c:axPos val="l"/>
        <c:numFmt formatCode="General" sourceLinked="1"/>
        <c:tickLblPos val="nextTo"/>
        <c:crossAx val="114433024"/>
        <c:crosses val="autoZero"/>
        <c:auto val="1"/>
        <c:lblAlgn val="ctr"/>
        <c:lblOffset val="100"/>
      </c:catAx>
      <c:valAx>
        <c:axId val="114433024"/>
        <c:scaling>
          <c:orientation val="minMax"/>
          <c:max val="80"/>
          <c:min val="0"/>
        </c:scaling>
        <c:delete val="1"/>
        <c:axPos val="t"/>
        <c:numFmt formatCode="#,##0" sourceLinked="0"/>
        <c:tickLblPos val="none"/>
        <c:crossAx val="114431488"/>
        <c:crosses val="autoZero"/>
        <c:crossBetween val="between"/>
        <c:majorUnit val="10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32156611773315"/>
          <c:y val="5.8956916099773327E-2"/>
          <c:w val="0.83941969102518765"/>
          <c:h val="0.67783777027871628"/>
        </c:manualLayout>
      </c:layout>
      <c:barChart>
        <c:barDir val="bar"/>
        <c:grouping val="stacked"/>
        <c:ser>
          <c:idx val="0"/>
          <c:order val="0"/>
          <c:tx>
            <c:strRef>
              <c:f>'Participa Elecciones'!$H$4</c:f>
              <c:strCache>
                <c:ptCount val="1"/>
                <c:pt idx="0">
                  <c:v>Nunca por no tener edad</c:v>
                </c:pt>
              </c:strCache>
            </c:strRef>
          </c:tx>
          <c:dLbls>
            <c:dLbl>
              <c:idx val="0"/>
              <c:layout>
                <c:manualLayout>
                  <c:x val="1.5481373971939993E-2"/>
                  <c:y val="-6.8027210884353803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1.3546202225447513E-2"/>
                  <c:y val="-6.3492063492063502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1611030478954973E-2"/>
                  <c:y val="-6.349206349206350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5.8055152394774967E-3"/>
                  <c:y val="-5.4421768707482956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800"/>
                </a:pPr>
                <a:endParaRPr lang="es-ES"/>
              </a:p>
            </c:txPr>
            <c:dLblPos val="ctr"/>
            <c:showVal val="1"/>
          </c:dLbls>
          <c:cat>
            <c:multiLvlStrRef>
              <c:f>'Participa Elecciones'!$I$2:$L$3</c:f>
              <c:multiLvlStrCache>
                <c:ptCount val="4"/>
                <c:lvl>
                  <c:pt idx="0">
                    <c:v>Baleares</c:v>
                  </c:pt>
                  <c:pt idx="1">
                    <c:v>España</c:v>
                  </c:pt>
                  <c:pt idx="2">
                    <c:v>Baleares</c:v>
                  </c:pt>
                  <c:pt idx="3">
                    <c:v>España</c:v>
                  </c:pt>
                </c:lvl>
                <c:lvl>
                  <c:pt idx="0">
                    <c:v>Integrado</c:v>
                  </c:pt>
                  <c:pt idx="2">
                    <c:v>Excluído</c:v>
                  </c:pt>
                </c:lvl>
              </c:multiLvlStrCache>
            </c:multiLvlStrRef>
          </c:cat>
          <c:val>
            <c:numRef>
              <c:f>'Participa Elecciones'!$I$4:$L$4</c:f>
              <c:numCache>
                <c:formatCode>0.0</c:formatCode>
                <c:ptCount val="4"/>
                <c:pt idx="0">
                  <c:v>3.3112582781456927</c:v>
                </c:pt>
                <c:pt idx="1">
                  <c:v>0.69815805109922768</c:v>
                </c:pt>
                <c:pt idx="2">
                  <c:v>1.7543859649122837</c:v>
                </c:pt>
                <c:pt idx="3">
                  <c:v>1.4791336502905423</c:v>
                </c:pt>
              </c:numCache>
            </c:numRef>
          </c:val>
        </c:ser>
        <c:ser>
          <c:idx val="1"/>
          <c:order val="1"/>
          <c:tx>
            <c:strRef>
              <c:f>'Participa Elecciones'!$H$5</c:f>
              <c:strCache>
                <c:ptCount val="1"/>
                <c:pt idx="0">
                  <c:v>Nunca por no tener derecho a voto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es-ES"/>
              </a:p>
            </c:txPr>
            <c:dLblPos val="ctr"/>
            <c:showVal val="1"/>
          </c:dLbls>
          <c:cat>
            <c:multiLvlStrRef>
              <c:f>'Participa Elecciones'!$I$2:$L$3</c:f>
              <c:multiLvlStrCache>
                <c:ptCount val="4"/>
                <c:lvl>
                  <c:pt idx="0">
                    <c:v>Baleares</c:v>
                  </c:pt>
                  <c:pt idx="1">
                    <c:v>España</c:v>
                  </c:pt>
                  <c:pt idx="2">
                    <c:v>Baleares</c:v>
                  </c:pt>
                  <c:pt idx="3">
                    <c:v>España</c:v>
                  </c:pt>
                </c:lvl>
                <c:lvl>
                  <c:pt idx="0">
                    <c:v>Integrado</c:v>
                  </c:pt>
                  <c:pt idx="2">
                    <c:v>Excluído</c:v>
                  </c:pt>
                </c:lvl>
              </c:multiLvlStrCache>
            </c:multiLvlStrRef>
          </c:cat>
          <c:val>
            <c:numRef>
              <c:f>'Participa Elecciones'!$I$5:$L$5</c:f>
              <c:numCache>
                <c:formatCode>0.0</c:formatCode>
                <c:ptCount val="4"/>
                <c:pt idx="0">
                  <c:v>9.9337748344370862</c:v>
                </c:pt>
                <c:pt idx="1">
                  <c:v>3.8027332144979211</c:v>
                </c:pt>
                <c:pt idx="2">
                  <c:v>15.78947368421051</c:v>
                </c:pt>
                <c:pt idx="3">
                  <c:v>12.731114632857887</c:v>
                </c:pt>
              </c:numCache>
            </c:numRef>
          </c:val>
        </c:ser>
        <c:ser>
          <c:idx val="2"/>
          <c:order val="2"/>
          <c:tx>
            <c:strRef>
              <c:f>'Participa Elecciones'!$H$6</c:f>
              <c:strCache>
                <c:ptCount val="1"/>
                <c:pt idx="0">
                  <c:v>Nunca porque no me interesa</c:v>
                </c:pt>
              </c:strCache>
            </c:strRef>
          </c:tx>
          <c:dLbls>
            <c:dLbl>
              <c:idx val="0"/>
              <c:layout>
                <c:manualLayout>
                  <c:x val="5.1679777921733883E-3"/>
                  <c:y val="-1.1116203977863498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800"/>
                </a:pPr>
                <a:endParaRPr lang="es-ES"/>
              </a:p>
            </c:txPr>
            <c:dLblPos val="ctr"/>
            <c:showVal val="1"/>
          </c:dLbls>
          <c:cat>
            <c:multiLvlStrRef>
              <c:f>'Participa Elecciones'!$I$2:$L$3</c:f>
              <c:multiLvlStrCache>
                <c:ptCount val="4"/>
                <c:lvl>
                  <c:pt idx="0">
                    <c:v>Baleares</c:v>
                  </c:pt>
                  <c:pt idx="1">
                    <c:v>España</c:v>
                  </c:pt>
                  <c:pt idx="2">
                    <c:v>Baleares</c:v>
                  </c:pt>
                  <c:pt idx="3">
                    <c:v>España</c:v>
                  </c:pt>
                </c:lvl>
                <c:lvl>
                  <c:pt idx="0">
                    <c:v>Integrado</c:v>
                  </c:pt>
                  <c:pt idx="2">
                    <c:v>Excluído</c:v>
                  </c:pt>
                </c:lvl>
              </c:multiLvlStrCache>
            </c:multiLvlStrRef>
          </c:cat>
          <c:val>
            <c:numRef>
              <c:f>'Participa Elecciones'!$I$6:$L$6</c:f>
              <c:numCache>
                <c:formatCode>0.0</c:formatCode>
                <c:ptCount val="4"/>
                <c:pt idx="0">
                  <c:v>6.6225165562913739</c:v>
                </c:pt>
                <c:pt idx="1">
                  <c:v>4.7385620915032796</c:v>
                </c:pt>
                <c:pt idx="2">
                  <c:v>17.543859649122787</c:v>
                </c:pt>
                <c:pt idx="3">
                  <c:v>15.900686740623362</c:v>
                </c:pt>
              </c:numCache>
            </c:numRef>
          </c:val>
        </c:ser>
        <c:ser>
          <c:idx val="3"/>
          <c:order val="3"/>
          <c:tx>
            <c:strRef>
              <c:f>'Participa Elecciones'!$H$7</c:f>
              <c:strCache>
                <c:ptCount val="1"/>
                <c:pt idx="0">
                  <c:v>Nunca porque no sirva para nada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es-ES"/>
              </a:p>
            </c:txPr>
            <c:dLblPos val="ctr"/>
            <c:showVal val="1"/>
          </c:dLbls>
          <c:cat>
            <c:multiLvlStrRef>
              <c:f>'Participa Elecciones'!$I$2:$L$3</c:f>
              <c:multiLvlStrCache>
                <c:ptCount val="4"/>
                <c:lvl>
                  <c:pt idx="0">
                    <c:v>Baleares</c:v>
                  </c:pt>
                  <c:pt idx="1">
                    <c:v>España</c:v>
                  </c:pt>
                  <c:pt idx="2">
                    <c:v>Baleares</c:v>
                  </c:pt>
                  <c:pt idx="3">
                    <c:v>España</c:v>
                  </c:pt>
                </c:lvl>
                <c:lvl>
                  <c:pt idx="0">
                    <c:v>Integrado</c:v>
                  </c:pt>
                  <c:pt idx="2">
                    <c:v>Excluído</c:v>
                  </c:pt>
                </c:lvl>
              </c:multiLvlStrCache>
            </c:multiLvlStrRef>
          </c:cat>
          <c:val>
            <c:numRef>
              <c:f>'Participa Elecciones'!$I$7:$L$7</c:f>
              <c:numCache>
                <c:formatCode>0.0</c:formatCode>
                <c:ptCount val="4"/>
                <c:pt idx="0">
                  <c:v>6.6225165562913739</c:v>
                </c:pt>
                <c:pt idx="1">
                  <c:v>3.5799168152109342</c:v>
                </c:pt>
                <c:pt idx="2">
                  <c:v>38.596491228070221</c:v>
                </c:pt>
                <c:pt idx="3">
                  <c:v>9.5615425250924506</c:v>
                </c:pt>
              </c:numCache>
            </c:numRef>
          </c:val>
        </c:ser>
        <c:ser>
          <c:idx val="4"/>
          <c:order val="4"/>
          <c:tx>
            <c:strRef>
              <c:f>'Participa Elecciones'!$H$8</c:f>
              <c:strCache>
                <c:ptCount val="1"/>
                <c:pt idx="0">
                  <c:v>Participan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es-ES"/>
              </a:p>
            </c:txPr>
            <c:dLblPos val="ctr"/>
            <c:showVal val="1"/>
          </c:dLbls>
          <c:cat>
            <c:multiLvlStrRef>
              <c:f>'Participa Elecciones'!$I$2:$L$3</c:f>
              <c:multiLvlStrCache>
                <c:ptCount val="4"/>
                <c:lvl>
                  <c:pt idx="0">
                    <c:v>Baleares</c:v>
                  </c:pt>
                  <c:pt idx="1">
                    <c:v>España</c:v>
                  </c:pt>
                  <c:pt idx="2">
                    <c:v>Baleares</c:v>
                  </c:pt>
                  <c:pt idx="3">
                    <c:v>España</c:v>
                  </c:pt>
                </c:lvl>
                <c:lvl>
                  <c:pt idx="0">
                    <c:v>Integrado</c:v>
                  </c:pt>
                  <c:pt idx="2">
                    <c:v>Excluído</c:v>
                  </c:pt>
                </c:lvl>
              </c:multiLvlStrCache>
            </c:multiLvlStrRef>
          </c:cat>
          <c:val>
            <c:numRef>
              <c:f>'Participa Elecciones'!$I$8:$L$8</c:f>
              <c:numCache>
                <c:formatCode>0.0</c:formatCode>
                <c:ptCount val="4"/>
                <c:pt idx="0">
                  <c:v>73.509933774834408</c:v>
                </c:pt>
                <c:pt idx="1">
                  <c:v>87.180629827688648</c:v>
                </c:pt>
                <c:pt idx="2">
                  <c:v>26.315789473684202</c:v>
                </c:pt>
                <c:pt idx="3">
                  <c:v>60.327522451135764</c:v>
                </c:pt>
              </c:numCache>
            </c:numRef>
          </c:val>
        </c:ser>
        <c:dLbls>
          <c:showVal val="1"/>
        </c:dLbls>
        <c:overlap val="100"/>
        <c:axId val="114634752"/>
        <c:axId val="114636288"/>
      </c:barChart>
      <c:catAx>
        <c:axId val="11463475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es-ES"/>
          </a:p>
        </c:txPr>
        <c:crossAx val="114636288"/>
        <c:crosses val="autoZero"/>
        <c:auto val="1"/>
        <c:lblAlgn val="ctr"/>
        <c:lblOffset val="100"/>
      </c:catAx>
      <c:valAx>
        <c:axId val="114636288"/>
        <c:scaling>
          <c:orientation val="minMax"/>
          <c:max val="100"/>
        </c:scaling>
        <c:delete val="1"/>
        <c:axPos val="b"/>
        <c:numFmt formatCode="0.0" sourceLinked="1"/>
        <c:tickLblPos val="none"/>
        <c:crossAx val="114634752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es-ES"/>
        </a:p>
      </c:txPr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'Variación del gasto medio hogar'!$B$1</c:f>
              <c:strCache>
                <c:ptCount val="1"/>
                <c:pt idx="0">
                  <c:v>Baleares</c:v>
                </c:pt>
              </c:strCache>
            </c:strRef>
          </c:tx>
          <c:spPr>
            <a:solidFill>
              <a:schemeClr val="accent4"/>
            </a:solidFill>
          </c:spPr>
          <c:dLbls>
            <c:dLbl>
              <c:idx val="0"/>
              <c:layout>
                <c:manualLayout>
                  <c:x val="-5.552885992254823E-3"/>
                  <c:y val="9.3014943912721419E-3"/>
                </c:manualLayout>
              </c:layout>
              <c:showVal val="1"/>
            </c:dLbl>
            <c:dLbl>
              <c:idx val="2"/>
              <c:layout>
                <c:manualLayout>
                  <c:x val="-8.3293289883823278E-3"/>
                  <c:y val="2.1315678406129595E-17"/>
                </c:manualLayout>
              </c:layout>
              <c:showVal val="1"/>
            </c:dLbl>
            <c:dLbl>
              <c:idx val="3"/>
              <c:layout>
                <c:manualLayout>
                  <c:x val="-5.552885992254823E-3"/>
                  <c:y val="9.3014943912721748E-3"/>
                </c:manualLayout>
              </c:layout>
              <c:showVal val="1"/>
            </c:dLbl>
            <c:dLbl>
              <c:idx val="4"/>
              <c:layout>
                <c:manualLayout>
                  <c:x val="-2.7763827709345271E-3"/>
                  <c:y val="1.1150636462209554E-2"/>
                </c:manualLayout>
              </c:layout>
              <c:showVal val="1"/>
            </c:dLbl>
            <c:dLbl>
              <c:idx val="5"/>
              <c:layout>
                <c:manualLayout>
                  <c:x val="-1.1105771984509585E-2"/>
                  <c:y val="1.8602988782544287E-2"/>
                </c:manualLayout>
              </c:layout>
              <c:showVal val="1"/>
            </c:dLbl>
            <c:dLbl>
              <c:idx val="7"/>
              <c:layout>
                <c:manualLayout>
                  <c:x val="-1.1105771984509641E-2"/>
                  <c:y val="4.6507471956361577E-3"/>
                </c:manualLayout>
              </c:layout>
              <c:showVal val="1"/>
            </c:dLbl>
            <c:dLbl>
              <c:idx val="9"/>
              <c:layout>
                <c:manualLayout>
                  <c:x val="-5.552885992254823E-3"/>
                  <c:y val="9.3014943912720621E-3"/>
                </c:manualLayout>
              </c:layout>
              <c:showVal val="1"/>
            </c:dLbl>
            <c:dLbl>
              <c:idx val="10"/>
              <c:layout>
                <c:manualLayout>
                  <c:x val="-5.5528859922549193E-3"/>
                  <c:y val="9.3014943912721419E-3"/>
                </c:manualLayout>
              </c:layout>
              <c:showVal val="1"/>
            </c:dLbl>
            <c:dLbl>
              <c:idx val="11"/>
              <c:layout>
                <c:manualLayout>
                  <c:x val="-5.552885992254823E-3"/>
                  <c:y val="9.3014943912721419E-3"/>
                </c:manualLayout>
              </c:layout>
              <c:showVal val="1"/>
            </c:dLbl>
            <c:dLbl>
              <c:idx val="12"/>
              <c:layout>
                <c:manualLayout>
                  <c:x val="-1.110577198450964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Val val="1"/>
          </c:dLbls>
          <c:cat>
            <c:strRef>
              <c:f>'Variación del gasto medio hogar'!$A$2:$A$14</c:f>
              <c:strCache>
                <c:ptCount val="13"/>
                <c:pt idx="0">
                  <c:v>Total</c:v>
                </c:pt>
                <c:pt idx="1">
                  <c:v>Alimentos y bebidas no alcohól.</c:v>
                </c:pt>
                <c:pt idx="2">
                  <c:v>Bebidas alcohólicas, tabaco </c:v>
                </c:pt>
                <c:pt idx="3">
                  <c:v>Artículos de vestir y calzado</c:v>
                </c:pt>
                <c:pt idx="4">
                  <c:v>Vivienda, agua, electricidad, gas </c:v>
                </c:pt>
                <c:pt idx="5">
                  <c:v>Mobiliario, equip.hogar y gastos corr. </c:v>
                </c:pt>
                <c:pt idx="6">
                  <c:v>Salud</c:v>
                </c:pt>
                <c:pt idx="7">
                  <c:v>Transportes</c:v>
                </c:pt>
                <c:pt idx="8">
                  <c:v>Comunicaciones</c:v>
                </c:pt>
                <c:pt idx="9">
                  <c:v>Ocio, espectáculos y cultura</c:v>
                </c:pt>
                <c:pt idx="10">
                  <c:v>Enseñanza</c:v>
                </c:pt>
                <c:pt idx="11">
                  <c:v>Hoteles, cafés y restaurantes</c:v>
                </c:pt>
                <c:pt idx="12">
                  <c:v>Otros bienes y servicios</c:v>
                </c:pt>
              </c:strCache>
            </c:strRef>
          </c:cat>
          <c:val>
            <c:numRef>
              <c:f>'Variación del gasto medio hogar'!$B$2:$B$14</c:f>
              <c:numCache>
                <c:formatCode>General</c:formatCode>
                <c:ptCount val="13"/>
                <c:pt idx="0">
                  <c:v>-13.5</c:v>
                </c:pt>
                <c:pt idx="1">
                  <c:v>-10.1</c:v>
                </c:pt>
                <c:pt idx="2">
                  <c:v>-23.4</c:v>
                </c:pt>
                <c:pt idx="3">
                  <c:v>-23.3</c:v>
                </c:pt>
                <c:pt idx="4">
                  <c:v>18.7</c:v>
                </c:pt>
                <c:pt idx="5">
                  <c:v>-32.300000000000004</c:v>
                </c:pt>
                <c:pt idx="6">
                  <c:v>-18.8</c:v>
                </c:pt>
                <c:pt idx="7">
                  <c:v>-31.3</c:v>
                </c:pt>
                <c:pt idx="8">
                  <c:v>-4.2</c:v>
                </c:pt>
                <c:pt idx="9">
                  <c:v>-34.700000000000003</c:v>
                </c:pt>
                <c:pt idx="10">
                  <c:v>17.899999999999999</c:v>
                </c:pt>
                <c:pt idx="11">
                  <c:v>-40</c:v>
                </c:pt>
                <c:pt idx="12">
                  <c:v>-20</c:v>
                </c:pt>
              </c:numCache>
            </c:numRef>
          </c:val>
        </c:ser>
        <c:ser>
          <c:idx val="1"/>
          <c:order val="1"/>
          <c:tx>
            <c:strRef>
              <c:f>'Variación del gasto medio hogar'!$C$1</c:f>
              <c:strCache>
                <c:ptCount val="1"/>
                <c:pt idx="0">
                  <c:v>España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-5.552885992254716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5.552448757137317E-3"/>
                  <c:y val="-9.3007619901389546E-3"/>
                </c:manualLayout>
              </c:layout>
              <c:showVal val="1"/>
            </c:dLbl>
            <c:dLbl>
              <c:idx val="2"/>
              <c:layout>
                <c:manualLayout>
                  <c:x val="-5.552885992254823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1105771984509641E-2"/>
                  <c:y val="-1.3952241586908141E-2"/>
                </c:manualLayout>
              </c:layout>
              <c:showVal val="1"/>
            </c:dLbl>
            <c:dLbl>
              <c:idx val="4"/>
              <c:layout>
                <c:manualLayout>
                  <c:x val="-2.7764429961274085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1.3882214980637056E-2"/>
                  <c:y val="-4.650747195636116E-3"/>
                </c:manualLayout>
              </c:layout>
              <c:showVal val="1"/>
            </c:dLbl>
            <c:dLbl>
              <c:idx val="7"/>
              <c:layout>
                <c:manualLayout>
                  <c:x val="-1.3882214980637056E-2"/>
                  <c:y val="-4.6507471956360753E-3"/>
                </c:manualLayout>
              </c:layout>
              <c:showVal val="1"/>
            </c:dLbl>
            <c:dLbl>
              <c:idx val="9"/>
              <c:layout>
                <c:manualLayout>
                  <c:x val="-1.1105771984509641E-2"/>
                  <c:y val="-4.6507471956360753E-3"/>
                </c:manualLayout>
              </c:layout>
              <c:showVal val="1"/>
            </c:dLbl>
            <c:dLbl>
              <c:idx val="10"/>
              <c:layout>
                <c:manualLayout>
                  <c:x val="-1.3882214980637159E-2"/>
                  <c:y val="3.6620056650025493E-7"/>
                </c:manualLayout>
              </c:layout>
              <c:showVal val="1"/>
            </c:dLbl>
            <c:dLbl>
              <c:idx val="11"/>
              <c:layout>
                <c:manualLayout>
                  <c:x val="-8.3291103708234768E-3"/>
                  <c:y val="3.6620056650025493E-7"/>
                </c:manualLayout>
              </c:layout>
              <c:showVal val="1"/>
            </c:dLbl>
            <c:dLbl>
              <c:idx val="12"/>
              <c:layout>
                <c:manualLayout>
                  <c:x val="-1.1105553366950859E-2"/>
                  <c:y val="-4.6500147945028924E-3"/>
                </c:manualLayout>
              </c:layout>
              <c:showVal val="1"/>
            </c:dLbl>
            <c:showVal val="1"/>
          </c:dLbls>
          <c:cat>
            <c:strRef>
              <c:f>'Variación del gasto medio hogar'!$A$2:$A$14</c:f>
              <c:strCache>
                <c:ptCount val="13"/>
                <c:pt idx="0">
                  <c:v>Total</c:v>
                </c:pt>
                <c:pt idx="1">
                  <c:v>Alimentos y bebidas no alcohól.</c:v>
                </c:pt>
                <c:pt idx="2">
                  <c:v>Bebidas alcohólicas, tabaco </c:v>
                </c:pt>
                <c:pt idx="3">
                  <c:v>Artículos de vestir y calzado</c:v>
                </c:pt>
                <c:pt idx="4">
                  <c:v>Vivienda, agua, electricidad, gas </c:v>
                </c:pt>
                <c:pt idx="5">
                  <c:v>Mobiliario, equip.hogar y gastos corr. </c:v>
                </c:pt>
                <c:pt idx="6">
                  <c:v>Salud</c:v>
                </c:pt>
                <c:pt idx="7">
                  <c:v>Transportes</c:v>
                </c:pt>
                <c:pt idx="8">
                  <c:v>Comunicaciones</c:v>
                </c:pt>
                <c:pt idx="9">
                  <c:v>Ocio, espectáculos y cultura</c:v>
                </c:pt>
                <c:pt idx="10">
                  <c:v>Enseñanza</c:v>
                </c:pt>
                <c:pt idx="11">
                  <c:v>Hoteles, cafés y restaurantes</c:v>
                </c:pt>
                <c:pt idx="12">
                  <c:v>Otros bienes y servicios</c:v>
                </c:pt>
              </c:strCache>
            </c:strRef>
          </c:cat>
          <c:val>
            <c:numRef>
              <c:f>'Variación del gasto medio hogar'!$C$2:$C$14</c:f>
              <c:numCache>
                <c:formatCode>General</c:formatCode>
                <c:ptCount val="13"/>
                <c:pt idx="0">
                  <c:v>-10.3</c:v>
                </c:pt>
                <c:pt idx="1">
                  <c:v>-4.9000000000000004</c:v>
                </c:pt>
                <c:pt idx="2">
                  <c:v>-4.5</c:v>
                </c:pt>
                <c:pt idx="3">
                  <c:v>-34.4</c:v>
                </c:pt>
                <c:pt idx="4">
                  <c:v>19</c:v>
                </c:pt>
                <c:pt idx="5">
                  <c:v>-36.1</c:v>
                </c:pt>
                <c:pt idx="6">
                  <c:v>-0.70000000000000062</c:v>
                </c:pt>
                <c:pt idx="7">
                  <c:v>-30.2</c:v>
                </c:pt>
                <c:pt idx="8">
                  <c:v>-4.5999999999999996</c:v>
                </c:pt>
                <c:pt idx="9">
                  <c:v>-26.2</c:v>
                </c:pt>
                <c:pt idx="10">
                  <c:v>30.3</c:v>
                </c:pt>
                <c:pt idx="11">
                  <c:v>-25.3</c:v>
                </c:pt>
                <c:pt idx="12">
                  <c:v>-14.2</c:v>
                </c:pt>
              </c:numCache>
            </c:numRef>
          </c:val>
        </c:ser>
        <c:axId val="114649728"/>
        <c:axId val="114712960"/>
      </c:barChart>
      <c:dateAx>
        <c:axId val="114649728"/>
        <c:scaling>
          <c:orientation val="maxMin"/>
        </c:scaling>
        <c:axPos val="l"/>
        <c:tickLblPos val="low"/>
        <c:crossAx val="114712960"/>
        <c:crosses val="autoZero"/>
        <c:lblOffset val="100"/>
        <c:baseTimeUnit val="days"/>
        <c:majorUnit val="1"/>
      </c:dateAx>
      <c:valAx>
        <c:axId val="114712960"/>
        <c:scaling>
          <c:orientation val="minMax"/>
        </c:scaling>
        <c:delete val="1"/>
        <c:axPos val="t"/>
        <c:numFmt formatCode="General" sourceLinked="1"/>
        <c:tickLblPos val="none"/>
        <c:crossAx val="114649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7542418308822514"/>
          <c:y val="7.9555508079609399E-2"/>
          <c:w val="0.21105639572831195"/>
          <c:h val="5.5136826559632771E-2"/>
        </c:manualLayout>
      </c:layout>
    </c:legend>
    <c:plotVisOnly val="1"/>
    <c:dispBlanksAs val="gap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Hoja2!$C$2</c:f>
              <c:strCache>
                <c:ptCount val="1"/>
                <c:pt idx="0">
                  <c:v>España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strRef>
              <c:f>Hoja2!$B$3:$B$8</c:f>
              <c:strCache>
                <c:ptCount val="6"/>
                <c:pt idx="0">
                  <c:v>Sufrir algún tipo de amenaza de expulsión </c:v>
                </c:pt>
                <c:pt idx="1">
                  <c:v>No poder mantener la casa a una temperatura adecuada</c:v>
                </c:pt>
                <c:pt idx="2">
                  <c:v>Avisos de corte de luz, agua o teléfono</c:v>
                </c:pt>
                <c:pt idx="3">
                  <c:v>Reducir los gastos de teléfono, televisión, internet</c:v>
                </c:pt>
                <c:pt idx="4">
                  <c:v>Reducir los gastos fijos de la casa</c:v>
                </c:pt>
                <c:pt idx="5">
                  <c:v>No disponer de dinero suficientes para pagar gastos de la casa (hipoteca, alquiler, facturas de luz, agua…)</c:v>
                </c:pt>
              </c:strCache>
            </c:strRef>
          </c:cat>
          <c:val>
            <c:numRef>
              <c:f>Hoja2!$C$3:$C$8</c:f>
              <c:numCache>
                <c:formatCode>0.0</c:formatCode>
                <c:ptCount val="6"/>
                <c:pt idx="0">
                  <c:v>3.7</c:v>
                </c:pt>
                <c:pt idx="1">
                  <c:v>21.5</c:v>
                </c:pt>
                <c:pt idx="2">
                  <c:v>13.2</c:v>
                </c:pt>
                <c:pt idx="3">
                  <c:v>49.8</c:v>
                </c:pt>
                <c:pt idx="4">
                  <c:v>51.5</c:v>
                </c:pt>
                <c:pt idx="5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Hoja2!$D$2</c:f>
              <c:strCache>
                <c:ptCount val="1"/>
                <c:pt idx="0">
                  <c:v>Islas Baleares</c:v>
                </c:pt>
              </c:strCache>
            </c:strRef>
          </c:tx>
          <c:spPr>
            <a:solidFill>
              <a:schemeClr val="accent4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Val val="1"/>
          </c:dLbls>
          <c:cat>
            <c:strRef>
              <c:f>Hoja2!$B$3:$B$8</c:f>
              <c:strCache>
                <c:ptCount val="6"/>
                <c:pt idx="0">
                  <c:v>Sufrir algún tipo de amenaza de expulsión </c:v>
                </c:pt>
                <c:pt idx="1">
                  <c:v>No poder mantener la casa a una temperatura adecuada</c:v>
                </c:pt>
                <c:pt idx="2">
                  <c:v>Avisos de corte de luz, agua o teléfono</c:v>
                </c:pt>
                <c:pt idx="3">
                  <c:v>Reducir los gastos de teléfono, televisión, internet</c:v>
                </c:pt>
                <c:pt idx="4">
                  <c:v>Reducir los gastos fijos de la casa</c:v>
                </c:pt>
                <c:pt idx="5">
                  <c:v>No disponer de dinero suficientes para pagar gastos de la casa (hipoteca, alquiler, facturas de luz, agua…)</c:v>
                </c:pt>
              </c:strCache>
            </c:strRef>
          </c:cat>
          <c:val>
            <c:numRef>
              <c:f>Hoja2!$D$3:$D$8</c:f>
              <c:numCache>
                <c:formatCode>0.0</c:formatCode>
                <c:ptCount val="6"/>
                <c:pt idx="0">
                  <c:v>5.6</c:v>
                </c:pt>
                <c:pt idx="1">
                  <c:v>19.899999999999999</c:v>
                </c:pt>
                <c:pt idx="2">
                  <c:v>26.5</c:v>
                </c:pt>
                <c:pt idx="3">
                  <c:v>30.4</c:v>
                </c:pt>
                <c:pt idx="4">
                  <c:v>30.4</c:v>
                </c:pt>
                <c:pt idx="5">
                  <c:v>31.5</c:v>
                </c:pt>
              </c:numCache>
            </c:numRef>
          </c:val>
        </c:ser>
        <c:axId val="115081984"/>
        <c:axId val="115083520"/>
      </c:barChart>
      <c:catAx>
        <c:axId val="11508198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es-ES"/>
          </a:p>
        </c:txPr>
        <c:crossAx val="115083520"/>
        <c:crosses val="autoZero"/>
        <c:auto val="1"/>
        <c:lblAlgn val="ctr"/>
        <c:lblOffset val="100"/>
      </c:catAx>
      <c:valAx>
        <c:axId val="115083520"/>
        <c:scaling>
          <c:orientation val="minMax"/>
        </c:scaling>
        <c:delete val="1"/>
        <c:axPos val="b"/>
        <c:numFmt formatCode="0.0" sourceLinked="1"/>
        <c:tickLblPos val="none"/>
        <c:crossAx val="11508198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'Hogares tiene o ha tenido ayuda'!$C$38</c:f>
              <c:strCache>
                <c:ptCount val="1"/>
                <c:pt idx="0">
                  <c:v>HA TENIDO AYUDA</c:v>
                </c:pt>
              </c:strCache>
            </c:strRef>
          </c:tx>
          <c:dLbls>
            <c:showVal val="1"/>
          </c:dLbls>
          <c:cat>
            <c:strRef>
              <c:f>'Hogares tiene o ha tenido ayuda'!$D$37:$E$37</c:f>
              <c:strCache>
                <c:ptCount val="2"/>
                <c:pt idx="0">
                  <c:v>Baleares</c:v>
                </c:pt>
                <c:pt idx="1">
                  <c:v>España</c:v>
                </c:pt>
              </c:strCache>
            </c:strRef>
          </c:cat>
          <c:val>
            <c:numRef>
              <c:f>'Hogares tiene o ha tenido ayuda'!$D$38:$E$38</c:f>
              <c:numCache>
                <c:formatCode>General</c:formatCode>
                <c:ptCount val="2"/>
                <c:pt idx="0">
                  <c:v>69.8</c:v>
                </c:pt>
                <c:pt idx="1">
                  <c:v>74.400000000000006</c:v>
                </c:pt>
              </c:numCache>
            </c:numRef>
          </c:val>
        </c:ser>
        <c:ser>
          <c:idx val="1"/>
          <c:order val="1"/>
          <c:tx>
            <c:strRef>
              <c:f>'Hogares tiene o ha tenido ayuda'!$C$39</c:f>
              <c:strCache>
                <c:ptCount val="1"/>
                <c:pt idx="0">
                  <c:v>TIENE AYUDA</c:v>
                </c:pt>
              </c:strCache>
            </c:strRef>
          </c:tx>
          <c:dLbls>
            <c:showVal val="1"/>
          </c:dLbls>
          <c:cat>
            <c:strRef>
              <c:f>'Hogares tiene o ha tenido ayuda'!$D$37:$E$37</c:f>
              <c:strCache>
                <c:ptCount val="2"/>
                <c:pt idx="0">
                  <c:v>Baleares</c:v>
                </c:pt>
                <c:pt idx="1">
                  <c:v>España</c:v>
                </c:pt>
              </c:strCache>
            </c:strRef>
          </c:cat>
          <c:val>
            <c:numRef>
              <c:f>'Hogares tiene o ha tenido ayuda'!$D$39:$E$39</c:f>
              <c:numCache>
                <c:formatCode>General</c:formatCode>
                <c:ptCount val="2"/>
                <c:pt idx="0">
                  <c:v>45.8</c:v>
                </c:pt>
                <c:pt idx="1">
                  <c:v>70.400000000000006</c:v>
                </c:pt>
              </c:numCache>
            </c:numRef>
          </c:val>
        </c:ser>
        <c:axId val="115129344"/>
        <c:axId val="115151616"/>
      </c:barChart>
      <c:catAx>
        <c:axId val="115129344"/>
        <c:scaling>
          <c:orientation val="minMax"/>
        </c:scaling>
        <c:axPos val="b"/>
        <c:tickLblPos val="nextTo"/>
        <c:crossAx val="115151616"/>
        <c:crosses val="autoZero"/>
        <c:auto val="1"/>
        <c:lblAlgn val="ctr"/>
        <c:lblOffset val="100"/>
      </c:catAx>
      <c:valAx>
        <c:axId val="115151616"/>
        <c:scaling>
          <c:orientation val="minMax"/>
          <c:max val="100"/>
          <c:min val="0"/>
        </c:scaling>
        <c:delete val="1"/>
        <c:axPos val="l"/>
        <c:numFmt formatCode="General" sourceLinked="1"/>
        <c:tickLblPos val="none"/>
        <c:crossAx val="11512934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'Hogares Servicios Sociales'!$S$14</c:f>
              <c:strCache>
                <c:ptCount val="1"/>
                <c:pt idx="0">
                  <c:v>Servicios sociales públicos</c:v>
                </c:pt>
              </c:strCache>
            </c:strRef>
          </c:tx>
          <c:dLbls>
            <c:showVal val="1"/>
          </c:dLbls>
          <c:cat>
            <c:strRef>
              <c:f>'Hogares Servicios Sociales'!$T$13:$U$13</c:f>
              <c:strCache>
                <c:ptCount val="2"/>
                <c:pt idx="0">
                  <c:v>España</c:v>
                </c:pt>
                <c:pt idx="1">
                  <c:v>Baleares</c:v>
                </c:pt>
              </c:strCache>
            </c:strRef>
          </c:cat>
          <c:val>
            <c:numRef>
              <c:f>'Hogares Servicios Sociales'!$T$14:$U$14</c:f>
              <c:numCache>
                <c:formatCode>0</c:formatCode>
                <c:ptCount val="2"/>
                <c:pt idx="0">
                  <c:v>20.9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'Hogares Servicios Sociales'!$S$15</c:f>
              <c:strCache>
                <c:ptCount val="1"/>
                <c:pt idx="0">
                  <c:v>Cáritas</c:v>
                </c:pt>
              </c:strCache>
            </c:strRef>
          </c:tx>
          <c:dLbls>
            <c:showVal val="1"/>
          </c:dLbls>
          <c:cat>
            <c:strRef>
              <c:f>'Hogares Servicios Sociales'!$T$13:$U$13</c:f>
              <c:strCache>
                <c:ptCount val="2"/>
                <c:pt idx="0">
                  <c:v>España</c:v>
                </c:pt>
                <c:pt idx="1">
                  <c:v>Baleares</c:v>
                </c:pt>
              </c:strCache>
            </c:strRef>
          </c:cat>
          <c:val>
            <c:numRef>
              <c:f>'Hogares Servicios Sociales'!$T$15:$U$15</c:f>
              <c:numCache>
                <c:formatCode>0</c:formatCode>
                <c:ptCount val="2"/>
                <c:pt idx="0">
                  <c:v>19.899999999999999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'Hogares Servicios Sociales'!$S$16</c:f>
              <c:strCache>
                <c:ptCount val="1"/>
                <c:pt idx="0">
                  <c:v>Otras entidades</c:v>
                </c:pt>
              </c:strCache>
            </c:strRef>
          </c:tx>
          <c:dLbls>
            <c:showVal val="1"/>
          </c:dLbls>
          <c:cat>
            <c:strRef>
              <c:f>'Hogares Servicios Sociales'!$T$13:$U$13</c:f>
              <c:strCache>
                <c:ptCount val="2"/>
                <c:pt idx="0">
                  <c:v>España</c:v>
                </c:pt>
                <c:pt idx="1">
                  <c:v>Baleares</c:v>
                </c:pt>
              </c:strCache>
            </c:strRef>
          </c:cat>
          <c:val>
            <c:numRef>
              <c:f>'Hogares Servicios Sociales'!$T$16:$U$16</c:f>
              <c:numCache>
                <c:formatCode>0</c:formatCode>
                <c:ptCount val="2"/>
                <c:pt idx="0">
                  <c:v>15.2</c:v>
                </c:pt>
                <c:pt idx="1">
                  <c:v>8</c:v>
                </c:pt>
              </c:numCache>
            </c:numRef>
          </c:val>
        </c:ser>
        <c:axId val="115182208"/>
        <c:axId val="115200384"/>
      </c:barChart>
      <c:catAx>
        <c:axId val="115182208"/>
        <c:scaling>
          <c:orientation val="minMax"/>
        </c:scaling>
        <c:axPos val="l"/>
        <c:tickLblPos val="nextTo"/>
        <c:crossAx val="115200384"/>
        <c:crosses val="autoZero"/>
        <c:auto val="1"/>
        <c:lblAlgn val="ctr"/>
        <c:lblOffset val="100"/>
      </c:catAx>
      <c:valAx>
        <c:axId val="115200384"/>
        <c:scaling>
          <c:orientation val="minMax"/>
        </c:scaling>
        <c:delete val="1"/>
        <c:axPos val="b"/>
        <c:numFmt formatCode="0" sourceLinked="1"/>
        <c:tickLblPos val="none"/>
        <c:crossAx val="11518220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0.34583</cdr:x>
      <cdr:y>0.05382</cdr:y>
    </cdr:from>
    <cdr:to>
      <cdr:x>0.44375</cdr:x>
      <cdr:y>0.14757</cdr:y>
    </cdr:to>
    <cdr:sp macro="" textlink="">
      <cdr:nvSpPr>
        <cdr:cNvPr id="10" name="1 CuadroTexto"/>
        <cdr:cNvSpPr txBox="1"/>
      </cdr:nvSpPr>
      <cdr:spPr>
        <a:xfrm xmlns:a="http://schemas.openxmlformats.org/drawingml/2006/main">
          <a:off x="1581150" y="147637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Ceu</a:t>
          </a:r>
        </a:p>
      </cdr:txBody>
    </cdr:sp>
  </cdr:relSizeAnchor>
  <cdr:relSizeAnchor xmlns:cdr="http://schemas.openxmlformats.org/drawingml/2006/chartDrawing">
    <cdr:from>
      <cdr:x>0.08403</cdr:x>
      <cdr:y>0.22338</cdr:y>
    </cdr:from>
    <cdr:to>
      <cdr:x>0.18194</cdr:x>
      <cdr:y>0.31713</cdr:y>
    </cdr:to>
    <cdr:sp macro="" textlink="">
      <cdr:nvSpPr>
        <cdr:cNvPr id="11" name="1 CuadroTexto"/>
        <cdr:cNvSpPr txBox="1"/>
      </cdr:nvSpPr>
      <cdr:spPr>
        <a:xfrm xmlns:a="http://schemas.openxmlformats.org/drawingml/2006/main">
          <a:off x="384175" y="61277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Ext</a:t>
          </a:r>
        </a:p>
      </cdr:txBody>
    </cdr:sp>
  </cdr:relSizeAnchor>
  <cdr:relSizeAnchor xmlns:cdr="http://schemas.openxmlformats.org/drawingml/2006/chartDrawing">
    <cdr:from>
      <cdr:x>0.19444</cdr:x>
      <cdr:y>0.15046</cdr:y>
    </cdr:from>
    <cdr:to>
      <cdr:x>0.29236</cdr:x>
      <cdr:y>0.24421</cdr:y>
    </cdr:to>
    <cdr:sp macro="" textlink="">
      <cdr:nvSpPr>
        <cdr:cNvPr id="12" name="1 CuadroTexto"/>
        <cdr:cNvSpPr txBox="1"/>
      </cdr:nvSpPr>
      <cdr:spPr>
        <a:xfrm xmlns:a="http://schemas.openxmlformats.org/drawingml/2006/main">
          <a:off x="889000" y="412750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And</a:t>
          </a:r>
        </a:p>
      </cdr:txBody>
    </cdr:sp>
  </cdr:relSizeAnchor>
  <cdr:relSizeAnchor xmlns:cdr="http://schemas.openxmlformats.org/drawingml/2006/chartDrawing">
    <cdr:from>
      <cdr:x>0.25278</cdr:x>
      <cdr:y>0.1956</cdr:y>
    </cdr:from>
    <cdr:to>
      <cdr:x>0.35069</cdr:x>
      <cdr:y>0.28935</cdr:y>
    </cdr:to>
    <cdr:sp macro="" textlink="">
      <cdr:nvSpPr>
        <cdr:cNvPr id="13" name="1 CuadroTexto"/>
        <cdr:cNvSpPr txBox="1"/>
      </cdr:nvSpPr>
      <cdr:spPr>
        <a:xfrm xmlns:a="http://schemas.openxmlformats.org/drawingml/2006/main">
          <a:off x="1155700" y="53657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CLM</a:t>
          </a:r>
        </a:p>
      </cdr:txBody>
    </cdr:sp>
  </cdr:relSizeAnchor>
  <cdr:relSizeAnchor xmlns:cdr="http://schemas.openxmlformats.org/drawingml/2006/chartDrawing">
    <cdr:from>
      <cdr:x>0.18194</cdr:x>
      <cdr:y>0.36921</cdr:y>
    </cdr:from>
    <cdr:to>
      <cdr:x>0.27986</cdr:x>
      <cdr:y>0.46296</cdr:y>
    </cdr:to>
    <cdr:sp macro="" textlink="">
      <cdr:nvSpPr>
        <cdr:cNvPr id="14" name="1 CuadroTexto"/>
        <cdr:cNvSpPr txBox="1"/>
      </cdr:nvSpPr>
      <cdr:spPr>
        <a:xfrm xmlns:a="http://schemas.openxmlformats.org/drawingml/2006/main">
          <a:off x="831850" y="101282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Mel</a:t>
          </a:r>
        </a:p>
      </cdr:txBody>
    </cdr:sp>
  </cdr:relSizeAnchor>
  <cdr:relSizeAnchor xmlns:cdr="http://schemas.openxmlformats.org/drawingml/2006/chartDrawing">
    <cdr:from>
      <cdr:x>0.26319</cdr:x>
      <cdr:y>0.32407</cdr:y>
    </cdr:from>
    <cdr:to>
      <cdr:x>0.36111</cdr:x>
      <cdr:y>0.41782</cdr:y>
    </cdr:to>
    <cdr:sp macro="" textlink="">
      <cdr:nvSpPr>
        <cdr:cNvPr id="15" name="1 CuadroTexto"/>
        <cdr:cNvSpPr txBox="1"/>
      </cdr:nvSpPr>
      <cdr:spPr>
        <a:xfrm xmlns:a="http://schemas.openxmlformats.org/drawingml/2006/main">
          <a:off x="1203325" y="889000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Mur</a:t>
          </a:r>
        </a:p>
      </cdr:txBody>
    </cdr:sp>
  </cdr:relSizeAnchor>
  <cdr:relSizeAnchor xmlns:cdr="http://schemas.openxmlformats.org/drawingml/2006/chartDrawing">
    <cdr:from>
      <cdr:x>0.32153</cdr:x>
      <cdr:y>0.20949</cdr:y>
    </cdr:from>
    <cdr:to>
      <cdr:x>0.41944</cdr:x>
      <cdr:y>0.30324</cdr:y>
    </cdr:to>
    <cdr:sp macro="" textlink="">
      <cdr:nvSpPr>
        <cdr:cNvPr id="16" name="1 CuadroTexto"/>
        <cdr:cNvSpPr txBox="1"/>
      </cdr:nvSpPr>
      <cdr:spPr>
        <a:xfrm xmlns:a="http://schemas.openxmlformats.org/drawingml/2006/main">
          <a:off x="1470025" y="57467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Can</a:t>
          </a:r>
        </a:p>
      </cdr:txBody>
    </cdr:sp>
  </cdr:relSizeAnchor>
  <cdr:relSizeAnchor xmlns:cdr="http://schemas.openxmlformats.org/drawingml/2006/chartDrawing">
    <cdr:from>
      <cdr:x>0.34583</cdr:x>
      <cdr:y>0.05382</cdr:y>
    </cdr:from>
    <cdr:to>
      <cdr:x>0.44375</cdr:x>
      <cdr:y>0.14757</cdr:y>
    </cdr:to>
    <cdr:sp macro="" textlink="">
      <cdr:nvSpPr>
        <cdr:cNvPr id="18" name="1 CuadroTexto"/>
        <cdr:cNvSpPr txBox="1"/>
      </cdr:nvSpPr>
      <cdr:spPr>
        <a:xfrm xmlns:a="http://schemas.openxmlformats.org/drawingml/2006/main">
          <a:off x="1581150" y="147637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Ceu</a:t>
          </a:r>
        </a:p>
      </cdr:txBody>
    </cdr:sp>
  </cdr:relSizeAnchor>
  <cdr:relSizeAnchor xmlns:cdr="http://schemas.openxmlformats.org/drawingml/2006/chartDrawing">
    <cdr:from>
      <cdr:x>0.08403</cdr:x>
      <cdr:y>0.22338</cdr:y>
    </cdr:from>
    <cdr:to>
      <cdr:x>0.18194</cdr:x>
      <cdr:y>0.31713</cdr:y>
    </cdr:to>
    <cdr:sp macro="" textlink="">
      <cdr:nvSpPr>
        <cdr:cNvPr id="19" name="1 CuadroTexto"/>
        <cdr:cNvSpPr txBox="1"/>
      </cdr:nvSpPr>
      <cdr:spPr>
        <a:xfrm xmlns:a="http://schemas.openxmlformats.org/drawingml/2006/main">
          <a:off x="384175" y="61277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Ext</a:t>
          </a:r>
        </a:p>
      </cdr:txBody>
    </cdr:sp>
  </cdr:relSizeAnchor>
  <cdr:relSizeAnchor xmlns:cdr="http://schemas.openxmlformats.org/drawingml/2006/chartDrawing">
    <cdr:from>
      <cdr:x>0.19444</cdr:x>
      <cdr:y>0.15046</cdr:y>
    </cdr:from>
    <cdr:to>
      <cdr:x>0.29236</cdr:x>
      <cdr:y>0.24421</cdr:y>
    </cdr:to>
    <cdr:sp macro="" textlink="">
      <cdr:nvSpPr>
        <cdr:cNvPr id="20" name="1 CuadroTexto"/>
        <cdr:cNvSpPr txBox="1"/>
      </cdr:nvSpPr>
      <cdr:spPr>
        <a:xfrm xmlns:a="http://schemas.openxmlformats.org/drawingml/2006/main">
          <a:off x="889000" y="412750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And</a:t>
          </a:r>
        </a:p>
      </cdr:txBody>
    </cdr:sp>
  </cdr:relSizeAnchor>
  <cdr:relSizeAnchor xmlns:cdr="http://schemas.openxmlformats.org/drawingml/2006/chartDrawing">
    <cdr:from>
      <cdr:x>0.25278</cdr:x>
      <cdr:y>0.1956</cdr:y>
    </cdr:from>
    <cdr:to>
      <cdr:x>0.35069</cdr:x>
      <cdr:y>0.28935</cdr:y>
    </cdr:to>
    <cdr:sp macro="" textlink="">
      <cdr:nvSpPr>
        <cdr:cNvPr id="21" name="1 CuadroTexto"/>
        <cdr:cNvSpPr txBox="1"/>
      </cdr:nvSpPr>
      <cdr:spPr>
        <a:xfrm xmlns:a="http://schemas.openxmlformats.org/drawingml/2006/main">
          <a:off x="1155700" y="53657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CLM</a:t>
          </a:r>
        </a:p>
      </cdr:txBody>
    </cdr:sp>
  </cdr:relSizeAnchor>
  <cdr:relSizeAnchor xmlns:cdr="http://schemas.openxmlformats.org/drawingml/2006/chartDrawing">
    <cdr:from>
      <cdr:x>0.18194</cdr:x>
      <cdr:y>0.36921</cdr:y>
    </cdr:from>
    <cdr:to>
      <cdr:x>0.27986</cdr:x>
      <cdr:y>0.46296</cdr:y>
    </cdr:to>
    <cdr:sp macro="" textlink="">
      <cdr:nvSpPr>
        <cdr:cNvPr id="22" name="1 CuadroTexto"/>
        <cdr:cNvSpPr txBox="1"/>
      </cdr:nvSpPr>
      <cdr:spPr>
        <a:xfrm xmlns:a="http://schemas.openxmlformats.org/drawingml/2006/main">
          <a:off x="831850" y="101282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Mel</a:t>
          </a:r>
        </a:p>
      </cdr:txBody>
    </cdr:sp>
  </cdr:relSizeAnchor>
  <cdr:relSizeAnchor xmlns:cdr="http://schemas.openxmlformats.org/drawingml/2006/chartDrawing">
    <cdr:from>
      <cdr:x>0.26319</cdr:x>
      <cdr:y>0.32407</cdr:y>
    </cdr:from>
    <cdr:to>
      <cdr:x>0.36111</cdr:x>
      <cdr:y>0.41782</cdr:y>
    </cdr:to>
    <cdr:sp macro="" textlink="">
      <cdr:nvSpPr>
        <cdr:cNvPr id="23" name="1 CuadroTexto"/>
        <cdr:cNvSpPr txBox="1"/>
      </cdr:nvSpPr>
      <cdr:spPr>
        <a:xfrm xmlns:a="http://schemas.openxmlformats.org/drawingml/2006/main">
          <a:off x="1203325" y="889000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Mur</a:t>
          </a:r>
        </a:p>
      </cdr:txBody>
    </cdr:sp>
  </cdr:relSizeAnchor>
  <cdr:relSizeAnchor xmlns:cdr="http://schemas.openxmlformats.org/drawingml/2006/chartDrawing">
    <cdr:from>
      <cdr:x>0.32153</cdr:x>
      <cdr:y>0.20949</cdr:y>
    </cdr:from>
    <cdr:to>
      <cdr:x>0.41944</cdr:x>
      <cdr:y>0.30324</cdr:y>
    </cdr:to>
    <cdr:sp macro="" textlink="">
      <cdr:nvSpPr>
        <cdr:cNvPr id="24" name="1 CuadroTexto"/>
        <cdr:cNvSpPr txBox="1"/>
      </cdr:nvSpPr>
      <cdr:spPr>
        <a:xfrm xmlns:a="http://schemas.openxmlformats.org/drawingml/2006/main">
          <a:off x="1470025" y="574675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Can</a:t>
          </a:r>
        </a:p>
      </cdr:txBody>
    </cdr:sp>
  </cdr:relSizeAnchor>
  <cdr:relSizeAnchor xmlns:cdr="http://schemas.openxmlformats.org/drawingml/2006/chartDrawing">
    <cdr:from>
      <cdr:x>0.34583</cdr:x>
      <cdr:y>0.05382</cdr:y>
    </cdr:from>
    <cdr:to>
      <cdr:x>0.44375</cdr:x>
      <cdr:y>0.14757</cdr:y>
    </cdr:to>
    <cdr:sp macro="" textlink="">
      <cdr:nvSpPr>
        <cdr:cNvPr id="26" name="1 CuadroTexto"/>
        <cdr:cNvSpPr txBox="1"/>
      </cdr:nvSpPr>
      <cdr:spPr>
        <a:xfrm xmlns:a="http://schemas.openxmlformats.org/drawingml/2006/main">
          <a:off x="1581150" y="147637"/>
          <a:ext cx="44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Ceu</a:t>
          </a:r>
        </a:p>
      </cdr:txBody>
    </cdr:sp>
  </cdr:relSizeAnchor>
  <cdr:relSizeAnchor xmlns:cdr="http://schemas.openxmlformats.org/drawingml/2006/chartDrawing">
    <cdr:from>
      <cdr:x>0.35486</cdr:x>
      <cdr:y>0.28241</cdr:y>
    </cdr:from>
    <cdr:to>
      <cdr:x>0.45278</cdr:x>
      <cdr:y>0.37616</cdr:y>
    </cdr:to>
    <cdr:sp macro="" textlink="">
      <cdr:nvSpPr>
        <cdr:cNvPr id="34" name="1 CuadroTexto"/>
        <cdr:cNvSpPr txBox="1"/>
      </cdr:nvSpPr>
      <cdr:spPr>
        <a:xfrm xmlns:a="http://schemas.openxmlformats.org/drawingml/2006/main">
          <a:off x="1622425" y="77470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Val</a:t>
          </a:r>
        </a:p>
      </cdr:txBody>
    </cdr:sp>
  </cdr:relSizeAnchor>
  <cdr:relSizeAnchor xmlns:cdr="http://schemas.openxmlformats.org/drawingml/2006/chartDrawing">
    <cdr:from>
      <cdr:x>0.35069</cdr:x>
      <cdr:y>0.4456</cdr:y>
    </cdr:from>
    <cdr:to>
      <cdr:x>0.44861</cdr:x>
      <cdr:y>0.53935</cdr:y>
    </cdr:to>
    <cdr:sp macro="" textlink="">
      <cdr:nvSpPr>
        <cdr:cNvPr id="35" name="1 CuadroTexto"/>
        <cdr:cNvSpPr txBox="1"/>
      </cdr:nvSpPr>
      <cdr:spPr>
        <a:xfrm xmlns:a="http://schemas.openxmlformats.org/drawingml/2006/main">
          <a:off x="1603375" y="1222375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Gal</a:t>
          </a:r>
        </a:p>
      </cdr:txBody>
    </cdr:sp>
  </cdr:relSizeAnchor>
  <cdr:relSizeAnchor xmlns:cdr="http://schemas.openxmlformats.org/drawingml/2006/chartDrawing">
    <cdr:from>
      <cdr:x>0.36319</cdr:x>
      <cdr:y>0.51852</cdr:y>
    </cdr:from>
    <cdr:to>
      <cdr:x>0.46111</cdr:x>
      <cdr:y>0.61227</cdr:y>
    </cdr:to>
    <cdr:sp macro="" textlink="">
      <cdr:nvSpPr>
        <cdr:cNvPr id="36" name="1 CuadroTexto"/>
        <cdr:cNvSpPr txBox="1"/>
      </cdr:nvSpPr>
      <cdr:spPr>
        <a:xfrm xmlns:a="http://schemas.openxmlformats.org/drawingml/2006/main">
          <a:off x="1660525" y="142240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Ast</a:t>
          </a:r>
        </a:p>
      </cdr:txBody>
    </cdr:sp>
  </cdr:relSizeAnchor>
  <cdr:relSizeAnchor xmlns:cdr="http://schemas.openxmlformats.org/drawingml/2006/chartDrawing">
    <cdr:from>
      <cdr:x>0.42153</cdr:x>
      <cdr:y>0.38657</cdr:y>
    </cdr:from>
    <cdr:to>
      <cdr:x>0.51945</cdr:x>
      <cdr:y>0.48032</cdr:y>
    </cdr:to>
    <cdr:sp macro="" textlink="">
      <cdr:nvSpPr>
        <cdr:cNvPr id="37" name="1 CuadroTexto"/>
        <cdr:cNvSpPr txBox="1"/>
      </cdr:nvSpPr>
      <cdr:spPr>
        <a:xfrm xmlns:a="http://schemas.openxmlformats.org/drawingml/2006/main">
          <a:off x="1927225" y="106045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Cant</a:t>
          </a:r>
        </a:p>
      </cdr:txBody>
    </cdr:sp>
  </cdr:relSizeAnchor>
  <cdr:relSizeAnchor xmlns:cdr="http://schemas.openxmlformats.org/drawingml/2006/chartDrawing">
    <cdr:from>
      <cdr:x>0.48611</cdr:x>
      <cdr:y>0.33796</cdr:y>
    </cdr:from>
    <cdr:to>
      <cdr:x>0.58403</cdr:x>
      <cdr:y>0.43171</cdr:y>
    </cdr:to>
    <cdr:sp macro="" textlink="">
      <cdr:nvSpPr>
        <cdr:cNvPr id="38" name="1 CuadroTexto"/>
        <cdr:cNvSpPr txBox="1"/>
      </cdr:nvSpPr>
      <cdr:spPr>
        <a:xfrm xmlns:a="http://schemas.openxmlformats.org/drawingml/2006/main">
          <a:off x="2222500" y="92710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 b="1">
              <a:solidFill>
                <a:srgbClr val="00B050"/>
              </a:solidFill>
              <a:latin typeface="Arial" panose="020B0604020202020204" pitchFamily="34" charset="0"/>
              <a:cs typeface="Arial" panose="020B0604020202020204" pitchFamily="34" charset="0"/>
            </a:rPr>
            <a:t>ESP</a:t>
          </a:r>
        </a:p>
      </cdr:txBody>
    </cdr:sp>
  </cdr:relSizeAnchor>
  <cdr:relSizeAnchor xmlns:cdr="http://schemas.openxmlformats.org/drawingml/2006/chartDrawing">
    <cdr:from>
      <cdr:x>0.47361</cdr:x>
      <cdr:y>0.55671</cdr:y>
    </cdr:from>
    <cdr:to>
      <cdr:x>0.57153</cdr:x>
      <cdr:y>0.65046</cdr:y>
    </cdr:to>
    <cdr:sp macro="" textlink="">
      <cdr:nvSpPr>
        <cdr:cNvPr id="39" name="1 CuadroTexto"/>
        <cdr:cNvSpPr txBox="1"/>
      </cdr:nvSpPr>
      <cdr:spPr>
        <a:xfrm xmlns:a="http://schemas.openxmlformats.org/drawingml/2006/main">
          <a:off x="2165350" y="1527175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CyL</a:t>
          </a:r>
        </a:p>
      </cdr:txBody>
    </cdr:sp>
  </cdr:relSizeAnchor>
  <cdr:relSizeAnchor xmlns:cdr="http://schemas.openxmlformats.org/drawingml/2006/chartDrawing">
    <cdr:from>
      <cdr:x>0.56383</cdr:x>
      <cdr:y>0.34144</cdr:y>
    </cdr:from>
    <cdr:to>
      <cdr:x>0.66175</cdr:x>
      <cdr:y>0.43519</cdr:y>
    </cdr:to>
    <cdr:sp macro="" textlink="">
      <cdr:nvSpPr>
        <cdr:cNvPr id="40" name="1 CuadroTexto"/>
        <cdr:cNvSpPr txBox="1"/>
      </cdr:nvSpPr>
      <cdr:spPr>
        <a:xfrm xmlns:a="http://schemas.openxmlformats.org/drawingml/2006/main">
          <a:off x="3044694" y="1044806"/>
          <a:ext cx="528768" cy="286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Bal</a:t>
          </a:r>
        </a:p>
      </cdr:txBody>
    </cdr:sp>
  </cdr:relSizeAnchor>
  <cdr:relSizeAnchor xmlns:cdr="http://schemas.openxmlformats.org/drawingml/2006/chartDrawing">
    <cdr:from>
      <cdr:x>0.66111</cdr:x>
      <cdr:y>0.42824</cdr:y>
    </cdr:from>
    <cdr:to>
      <cdr:x>0.75903</cdr:x>
      <cdr:y>0.52199</cdr:y>
    </cdr:to>
    <cdr:sp macro="" textlink="">
      <cdr:nvSpPr>
        <cdr:cNvPr id="41" name="1 CuadroTexto"/>
        <cdr:cNvSpPr txBox="1"/>
      </cdr:nvSpPr>
      <cdr:spPr>
        <a:xfrm xmlns:a="http://schemas.openxmlformats.org/drawingml/2006/main">
          <a:off x="3022600" y="117475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Rio</a:t>
          </a:r>
        </a:p>
      </cdr:txBody>
    </cdr:sp>
  </cdr:relSizeAnchor>
  <cdr:relSizeAnchor xmlns:cdr="http://schemas.openxmlformats.org/drawingml/2006/chartDrawing">
    <cdr:from>
      <cdr:x>0.60278</cdr:x>
      <cdr:y>0.56019</cdr:y>
    </cdr:from>
    <cdr:to>
      <cdr:x>0.7007</cdr:x>
      <cdr:y>0.65394</cdr:y>
    </cdr:to>
    <cdr:sp macro="" textlink="">
      <cdr:nvSpPr>
        <cdr:cNvPr id="42" name="1 CuadroTexto"/>
        <cdr:cNvSpPr txBox="1"/>
      </cdr:nvSpPr>
      <cdr:spPr>
        <a:xfrm xmlns:a="http://schemas.openxmlformats.org/drawingml/2006/main">
          <a:off x="2755900" y="153670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Ara</a:t>
          </a:r>
        </a:p>
      </cdr:txBody>
    </cdr:sp>
  </cdr:relSizeAnchor>
  <cdr:relSizeAnchor xmlns:cdr="http://schemas.openxmlformats.org/drawingml/2006/chartDrawing">
    <cdr:from>
      <cdr:x>0.72569</cdr:x>
      <cdr:y>0.47685</cdr:y>
    </cdr:from>
    <cdr:to>
      <cdr:x>0.82361</cdr:x>
      <cdr:y>0.5706</cdr:y>
    </cdr:to>
    <cdr:sp macro="" textlink="">
      <cdr:nvSpPr>
        <cdr:cNvPr id="43" name="1 CuadroTexto"/>
        <cdr:cNvSpPr txBox="1"/>
      </cdr:nvSpPr>
      <cdr:spPr>
        <a:xfrm xmlns:a="http://schemas.openxmlformats.org/drawingml/2006/main">
          <a:off x="3317875" y="130810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Cat</a:t>
          </a:r>
        </a:p>
      </cdr:txBody>
    </cdr:sp>
  </cdr:relSizeAnchor>
  <cdr:relSizeAnchor xmlns:cdr="http://schemas.openxmlformats.org/drawingml/2006/chartDrawing">
    <cdr:from>
      <cdr:x>0.83611</cdr:x>
      <cdr:y>0.47685</cdr:y>
    </cdr:from>
    <cdr:to>
      <cdr:x>0.93403</cdr:x>
      <cdr:y>0.5706</cdr:y>
    </cdr:to>
    <cdr:sp macro="" textlink="">
      <cdr:nvSpPr>
        <cdr:cNvPr id="44" name="1 CuadroTexto"/>
        <cdr:cNvSpPr txBox="1"/>
      </cdr:nvSpPr>
      <cdr:spPr>
        <a:xfrm xmlns:a="http://schemas.openxmlformats.org/drawingml/2006/main">
          <a:off x="3822700" y="1308100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Mad</a:t>
          </a:r>
        </a:p>
      </cdr:txBody>
    </cdr:sp>
  </cdr:relSizeAnchor>
  <cdr:relSizeAnchor xmlns:cdr="http://schemas.openxmlformats.org/drawingml/2006/chartDrawing">
    <cdr:from>
      <cdr:x>0.77569</cdr:x>
      <cdr:y>0.62616</cdr:y>
    </cdr:from>
    <cdr:to>
      <cdr:x>0.87361</cdr:x>
      <cdr:y>0.71991</cdr:y>
    </cdr:to>
    <cdr:sp macro="" textlink="">
      <cdr:nvSpPr>
        <cdr:cNvPr id="45" name="1 CuadroTexto"/>
        <cdr:cNvSpPr txBox="1"/>
      </cdr:nvSpPr>
      <cdr:spPr>
        <a:xfrm xmlns:a="http://schemas.openxmlformats.org/drawingml/2006/main">
          <a:off x="3546475" y="1717675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Nav</a:t>
          </a:r>
        </a:p>
      </cdr:txBody>
    </cdr:sp>
  </cdr:relSizeAnchor>
  <cdr:relSizeAnchor xmlns:cdr="http://schemas.openxmlformats.org/drawingml/2006/chartDrawing">
    <cdr:from>
      <cdr:x>0.89236</cdr:x>
      <cdr:y>0.53588</cdr:y>
    </cdr:from>
    <cdr:to>
      <cdr:x>0.99028</cdr:x>
      <cdr:y>0.62963</cdr:y>
    </cdr:to>
    <cdr:sp macro="" textlink="">
      <cdr:nvSpPr>
        <cdr:cNvPr id="46" name="1 CuadroTexto"/>
        <cdr:cNvSpPr txBox="1"/>
      </cdr:nvSpPr>
      <cdr:spPr>
        <a:xfrm xmlns:a="http://schemas.openxmlformats.org/drawingml/2006/main">
          <a:off x="4079875" y="1470025"/>
          <a:ext cx="44769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PV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B93575-FBDE-46AD-8189-752B5914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1696</Words>
  <Characters>9331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Kitchen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Terciado</dc:creator>
  <cp:lastModifiedBy>USER</cp:lastModifiedBy>
  <cp:revision>2</cp:revision>
  <cp:lastPrinted>2014-10-06T09:26:00Z</cp:lastPrinted>
  <dcterms:created xsi:type="dcterms:W3CDTF">2014-11-24T06:37:00Z</dcterms:created>
  <dcterms:modified xsi:type="dcterms:W3CDTF">2014-11-24T06:37:00Z</dcterms:modified>
</cp:coreProperties>
</file>